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B7E" w:rsidRPr="006A6CE3" w:rsidRDefault="00CF213B" w:rsidP="00E204D9">
      <w:pPr>
        <w:spacing w:before="0" w:after="0"/>
        <w:rPr>
          <w:rFonts w:cs="Arial"/>
          <w:color w:val="929309"/>
          <w:sz w:val="32"/>
          <w:szCs w:val="32"/>
        </w:rPr>
      </w:pPr>
      <w:r w:rsidRPr="006A6CE3">
        <w:rPr>
          <w:rFonts w:cs="Arial"/>
          <w:color w:val="929309"/>
          <w:sz w:val="32"/>
          <w:szCs w:val="32"/>
        </w:rPr>
        <w:t>www.gov.uk/defra</w:t>
      </w:r>
    </w:p>
    <w:p w:rsidR="005E6B7E" w:rsidRPr="006A6CE3" w:rsidRDefault="00151A25" w:rsidP="00E204D9">
      <w:pPr>
        <w:pStyle w:val="PubTitle"/>
      </w:pPr>
      <w:r>
        <w:rPr>
          <w:noProof/>
          <w:color w:val="929309"/>
          <w:lang w:eastAsia="en-GB"/>
        </w:rPr>
        <w:drawing>
          <wp:anchor distT="0" distB="0" distL="114300" distR="114300" simplePos="0" relativeHeight="251653120" behindDoc="0" locked="0" layoutInCell="1" allowOverlap="1">
            <wp:simplePos x="0" y="0"/>
            <wp:positionH relativeFrom="column">
              <wp:posOffset>20955</wp:posOffset>
            </wp:positionH>
            <wp:positionV relativeFrom="paragraph">
              <wp:posOffset>125095</wp:posOffset>
            </wp:positionV>
            <wp:extent cx="2038350" cy="1047750"/>
            <wp:effectExtent l="0" t="0" r="0" b="0"/>
            <wp:wrapNone/>
            <wp:docPr id="12" name="Picture 4" descr="Defra_582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fra_582_A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8350" cy="1047750"/>
                    </a:xfrm>
                    <a:prstGeom prst="rect">
                      <a:avLst/>
                    </a:prstGeom>
                    <a:noFill/>
                  </pic:spPr>
                </pic:pic>
              </a:graphicData>
            </a:graphic>
            <wp14:sizeRelH relativeFrom="page">
              <wp14:pctWidth>0</wp14:pctWidth>
            </wp14:sizeRelH>
            <wp14:sizeRelV relativeFrom="page">
              <wp14:pctHeight>0</wp14:pctHeight>
            </wp14:sizeRelV>
          </wp:anchor>
        </w:drawing>
      </w:r>
    </w:p>
    <w:p w:rsidR="00F3793C" w:rsidRPr="00F3793C" w:rsidRDefault="00F3793C" w:rsidP="00F3793C">
      <w:pPr>
        <w:pStyle w:val="PubTitle"/>
      </w:pPr>
      <w:r>
        <w:t>Environmental Reporting Guidelines:</w:t>
      </w:r>
    </w:p>
    <w:p w:rsidR="00F3793C" w:rsidRDefault="00F3793C" w:rsidP="00E204D9">
      <w:pPr>
        <w:pStyle w:val="PubSubtitle"/>
      </w:pPr>
    </w:p>
    <w:p w:rsidR="005E6B7E" w:rsidRPr="006A6CE3" w:rsidRDefault="00913351" w:rsidP="00E204D9">
      <w:pPr>
        <w:pStyle w:val="PubSubtitle"/>
      </w:pPr>
      <w:r w:rsidRPr="006A6CE3">
        <w:t xml:space="preserve">Including mandatory greenhouse gas emissions reporting guidance </w:t>
      </w:r>
    </w:p>
    <w:p w:rsidR="005E6B7E" w:rsidRPr="006A6CE3" w:rsidRDefault="000F4EC0" w:rsidP="00E204D9">
      <w:pPr>
        <w:pStyle w:val="PubDate"/>
        <w:rPr>
          <w:rFonts w:cs="Arial"/>
        </w:rPr>
      </w:pPr>
      <w:r>
        <w:rPr>
          <w:rFonts w:cs="Arial"/>
        </w:rPr>
        <w:t>Febr</w:t>
      </w:r>
      <w:r w:rsidR="009F32B2">
        <w:rPr>
          <w:rFonts w:cs="Arial"/>
        </w:rPr>
        <w:t>uary 2014</w:t>
      </w:r>
    </w:p>
    <w:tbl>
      <w:tblPr>
        <w:tblpPr w:leftFromText="181" w:rightFromText="181" w:tblpXSpec="center" w:tblpYSpec="bottom"/>
        <w:tblOverlap w:val="never"/>
        <w:tblW w:w="8931" w:type="dxa"/>
        <w:tblLook w:val="04A0" w:firstRow="1" w:lastRow="0" w:firstColumn="1" w:lastColumn="0" w:noHBand="0" w:noVBand="1"/>
      </w:tblPr>
      <w:tblGrid>
        <w:gridCol w:w="2977"/>
        <w:gridCol w:w="2977"/>
        <w:gridCol w:w="2977"/>
      </w:tblGrid>
      <w:tr w:rsidR="0047775F" w:rsidRPr="006A6CE3" w:rsidTr="00E87001">
        <w:tc>
          <w:tcPr>
            <w:tcW w:w="8931" w:type="dxa"/>
            <w:gridSpan w:val="3"/>
            <w:tcMar>
              <w:top w:w="113" w:type="dxa"/>
            </w:tcMar>
            <w:vAlign w:val="bottom"/>
          </w:tcPr>
          <w:p w:rsidR="0047775F" w:rsidRPr="006A6CE3" w:rsidRDefault="0047775F" w:rsidP="00E204D9">
            <w:pPr>
              <w:rPr>
                <w:rFonts w:cs="Arial"/>
                <w:b/>
                <w:i/>
                <w:noProof/>
                <w:lang w:eastAsia="en-GB"/>
              </w:rPr>
            </w:pPr>
          </w:p>
        </w:tc>
      </w:tr>
      <w:tr w:rsidR="00321BF9" w:rsidRPr="006A6CE3" w:rsidTr="00321BF9">
        <w:tc>
          <w:tcPr>
            <w:tcW w:w="2977" w:type="dxa"/>
            <w:tcMar>
              <w:top w:w="113" w:type="dxa"/>
            </w:tcMar>
            <w:vAlign w:val="bottom"/>
          </w:tcPr>
          <w:p w:rsidR="00321BF9" w:rsidRPr="006A6CE3" w:rsidRDefault="00321BF9" w:rsidP="00E204D9">
            <w:pPr>
              <w:rPr>
                <w:rFonts w:cs="Arial"/>
                <w:color w:val="660000"/>
              </w:rPr>
            </w:pPr>
          </w:p>
        </w:tc>
        <w:tc>
          <w:tcPr>
            <w:tcW w:w="2977" w:type="dxa"/>
            <w:tcMar>
              <w:top w:w="113" w:type="dxa"/>
            </w:tcMar>
            <w:vAlign w:val="bottom"/>
          </w:tcPr>
          <w:p w:rsidR="00321BF9" w:rsidRPr="006A6CE3" w:rsidRDefault="00321BF9" w:rsidP="00E204D9">
            <w:pPr>
              <w:rPr>
                <w:rFonts w:cs="Arial"/>
                <w:color w:val="660000"/>
              </w:rPr>
            </w:pPr>
          </w:p>
        </w:tc>
        <w:tc>
          <w:tcPr>
            <w:tcW w:w="2977" w:type="dxa"/>
            <w:tcMar>
              <w:top w:w="113" w:type="dxa"/>
            </w:tcMar>
            <w:vAlign w:val="bottom"/>
          </w:tcPr>
          <w:p w:rsidR="00321BF9" w:rsidRPr="006A6CE3" w:rsidRDefault="00321BF9" w:rsidP="00E204D9">
            <w:pPr>
              <w:rPr>
                <w:rFonts w:cs="Arial"/>
                <w:color w:val="660000"/>
              </w:rPr>
            </w:pPr>
          </w:p>
        </w:tc>
      </w:tr>
    </w:tbl>
    <w:p w:rsidR="00F23BD3" w:rsidRPr="006A6CE3" w:rsidRDefault="00F23BD3" w:rsidP="00E204D9">
      <w:pPr>
        <w:spacing w:after="0"/>
        <w:rPr>
          <w:rFonts w:cs="Arial"/>
        </w:rPr>
      </w:pPr>
    </w:p>
    <w:p w:rsidR="00241F9E" w:rsidRPr="006A6CE3" w:rsidRDefault="005E6B7E" w:rsidP="00E204D9">
      <w:pPr>
        <w:spacing w:after="0"/>
        <w:rPr>
          <w:rFonts w:cs="Arial"/>
        </w:rPr>
      </w:pPr>
      <w:r w:rsidRPr="006A6CE3">
        <w:rPr>
          <w:rFonts w:cs="Arial"/>
        </w:rPr>
        <w:br w:type="page"/>
      </w:r>
      <w:r w:rsidR="00241F9E" w:rsidRPr="006A6CE3">
        <w:rPr>
          <w:rFonts w:cs="Arial"/>
        </w:rPr>
        <w:lastRenderedPageBreak/>
        <w:t xml:space="preserve">© Crown copyright </w:t>
      </w:r>
      <w:r w:rsidR="00E831A9">
        <w:rPr>
          <w:rFonts w:cs="Arial"/>
        </w:rPr>
        <w:t>2013</w:t>
      </w:r>
    </w:p>
    <w:p w:rsidR="00241F9E" w:rsidRPr="006A6CE3" w:rsidRDefault="00241F9E" w:rsidP="00E204D9">
      <w:pPr>
        <w:spacing w:before="160"/>
        <w:rPr>
          <w:rFonts w:cs="Arial"/>
        </w:rPr>
      </w:pPr>
      <w:r w:rsidRPr="006A6CE3">
        <w:rPr>
          <w:rFonts w:cs="Arial"/>
        </w:rPr>
        <w:t xml:space="preserve">You may re-use this information (not including logos) free of charge in any format or medium, under the terms of the Open Government Licence. To view this licence, visit </w:t>
      </w:r>
      <w:hyperlink r:id="rId14" w:history="1">
        <w:r w:rsidRPr="006A6CE3">
          <w:rPr>
            <w:rStyle w:val="Hyperlink"/>
            <w:rFonts w:cs="Arial"/>
          </w:rPr>
          <w:t>www.nationalarchives.gov.uk/doc/open-government-licence/</w:t>
        </w:r>
      </w:hyperlink>
      <w:r w:rsidRPr="006A6CE3">
        <w:rPr>
          <w:rFonts w:cs="Arial"/>
        </w:rPr>
        <w:t xml:space="preserve"> or write to the Information Policy Team, The National Archives, Kew, London TW9 4DU, or e-mail: </w:t>
      </w:r>
      <w:hyperlink r:id="rId15" w:history="1">
        <w:r w:rsidRPr="006A6CE3">
          <w:rPr>
            <w:rStyle w:val="Hyperlink"/>
            <w:rFonts w:cs="Arial"/>
          </w:rPr>
          <w:t>psi@nationalarchives.gsi.gov.uk</w:t>
        </w:r>
      </w:hyperlink>
      <w:r w:rsidRPr="006A6CE3">
        <w:rPr>
          <w:rFonts w:cs="Arial"/>
        </w:rPr>
        <w:t xml:space="preserve"> </w:t>
      </w:r>
    </w:p>
    <w:p w:rsidR="00241F9E" w:rsidRPr="006A6CE3" w:rsidRDefault="00241F9E" w:rsidP="00E204D9">
      <w:pPr>
        <w:spacing w:before="160"/>
        <w:rPr>
          <w:rFonts w:cs="Arial"/>
        </w:rPr>
      </w:pPr>
      <w:r w:rsidRPr="006A6CE3">
        <w:rPr>
          <w:rFonts w:cs="Arial"/>
        </w:rPr>
        <w:t>Any enquiries regarding this document should be sent to:</w:t>
      </w:r>
      <w:r w:rsidR="00BF4392">
        <w:rPr>
          <w:rFonts w:cs="Arial"/>
        </w:rPr>
        <w:t xml:space="preserve"> </w:t>
      </w:r>
      <w:hyperlink r:id="rId16" w:history="1">
        <w:r w:rsidR="002200AF">
          <w:rPr>
            <w:rStyle w:val="Hyperlink"/>
            <w:lang w:val="en"/>
          </w:rPr>
          <w:t>defra.helpline@defra.gsi.gov.uk</w:t>
        </w:r>
      </w:hyperlink>
      <w:r w:rsidR="00BF4392">
        <w:rPr>
          <w:rFonts w:cs="Arial"/>
        </w:rPr>
        <w:t xml:space="preserve">  </w:t>
      </w:r>
    </w:p>
    <w:p w:rsidR="00241F9E" w:rsidRPr="006A6CE3" w:rsidRDefault="00241F9E" w:rsidP="00E204D9">
      <w:pPr>
        <w:spacing w:before="160"/>
        <w:rPr>
          <w:rFonts w:cs="Arial"/>
        </w:rPr>
      </w:pPr>
      <w:r w:rsidRPr="006A6CE3">
        <w:rPr>
          <w:rFonts w:cs="Arial"/>
        </w:rPr>
        <w:t xml:space="preserve">PB </w:t>
      </w:r>
      <w:r w:rsidR="0021476D">
        <w:rPr>
          <w:rFonts w:cs="Arial"/>
        </w:rPr>
        <w:t>1</w:t>
      </w:r>
      <w:r w:rsidR="002200AF">
        <w:rPr>
          <w:rFonts w:cs="Arial"/>
        </w:rPr>
        <w:t>4076</w:t>
      </w:r>
    </w:p>
    <w:p w:rsidR="00F175E4" w:rsidRDefault="00316023" w:rsidP="00F175E4">
      <w:pPr>
        <w:pStyle w:val="Contents"/>
      </w:pPr>
      <w:r w:rsidRPr="006A6CE3">
        <w:rPr>
          <w:rFonts w:cs="Arial"/>
        </w:rPr>
        <w:br w:type="page"/>
      </w:r>
      <w:r w:rsidR="00F175E4">
        <w:lastRenderedPageBreak/>
        <w:t>Table of Contents</w:t>
      </w:r>
    </w:p>
    <w:p w:rsidR="009013A2" w:rsidRDefault="0089440A">
      <w:pPr>
        <w:pStyle w:val="TOC1"/>
        <w:rPr>
          <w:rFonts w:asciiTheme="minorHAnsi" w:eastAsiaTheme="minorEastAsia" w:hAnsiTheme="minorHAnsi" w:cstheme="minorBidi"/>
          <w:noProof/>
          <w:sz w:val="22"/>
          <w:lang w:eastAsia="en-GB"/>
        </w:rPr>
      </w:pPr>
      <w:r>
        <w:fldChar w:fldCharType="begin"/>
      </w:r>
      <w:r w:rsidR="009B6BB9">
        <w:instrText xml:space="preserve"> TOC \o "1-2" \h \z \u </w:instrText>
      </w:r>
      <w:r>
        <w:fldChar w:fldCharType="separate"/>
      </w:r>
      <w:hyperlink w:anchor="_Toc380763527" w:history="1">
        <w:r w:rsidR="009013A2" w:rsidRPr="005C7107">
          <w:rPr>
            <w:rStyle w:val="Hyperlink"/>
            <w:noProof/>
          </w:rPr>
          <w:t>Introduction</w:t>
        </w:r>
        <w:r w:rsidR="009013A2">
          <w:rPr>
            <w:noProof/>
            <w:webHidden/>
          </w:rPr>
          <w:tab/>
        </w:r>
        <w:r w:rsidR="009013A2">
          <w:rPr>
            <w:noProof/>
            <w:webHidden/>
          </w:rPr>
          <w:fldChar w:fldCharType="begin"/>
        </w:r>
        <w:r w:rsidR="009013A2">
          <w:rPr>
            <w:noProof/>
            <w:webHidden/>
          </w:rPr>
          <w:instrText xml:space="preserve"> PAGEREF _Toc380763527 \h </w:instrText>
        </w:r>
        <w:r w:rsidR="009013A2">
          <w:rPr>
            <w:noProof/>
            <w:webHidden/>
          </w:rPr>
        </w:r>
        <w:r w:rsidR="009013A2">
          <w:rPr>
            <w:noProof/>
            <w:webHidden/>
          </w:rPr>
          <w:fldChar w:fldCharType="separate"/>
        </w:r>
        <w:r w:rsidR="009013A2">
          <w:rPr>
            <w:noProof/>
            <w:webHidden/>
          </w:rPr>
          <w:t>1</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28" w:history="1">
        <w:r w:rsidR="009013A2" w:rsidRPr="005C7107">
          <w:rPr>
            <w:rStyle w:val="Hyperlink"/>
            <w:noProof/>
          </w:rPr>
          <w:t>Who is this document for?</w:t>
        </w:r>
        <w:r w:rsidR="009013A2">
          <w:rPr>
            <w:noProof/>
            <w:webHidden/>
          </w:rPr>
          <w:tab/>
        </w:r>
        <w:r w:rsidR="009013A2">
          <w:rPr>
            <w:noProof/>
            <w:webHidden/>
          </w:rPr>
          <w:fldChar w:fldCharType="begin"/>
        </w:r>
        <w:r w:rsidR="009013A2">
          <w:rPr>
            <w:noProof/>
            <w:webHidden/>
          </w:rPr>
          <w:instrText xml:space="preserve"> PAGEREF _Toc380763528 \h </w:instrText>
        </w:r>
        <w:r w:rsidR="009013A2">
          <w:rPr>
            <w:noProof/>
            <w:webHidden/>
          </w:rPr>
        </w:r>
        <w:r w:rsidR="009013A2">
          <w:rPr>
            <w:noProof/>
            <w:webHidden/>
          </w:rPr>
          <w:fldChar w:fldCharType="separate"/>
        </w:r>
        <w:r w:rsidR="009013A2">
          <w:rPr>
            <w:noProof/>
            <w:webHidden/>
          </w:rPr>
          <w:t>1</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29" w:history="1">
        <w:r w:rsidR="009013A2" w:rsidRPr="005C7107">
          <w:rPr>
            <w:rStyle w:val="Hyperlink"/>
            <w:noProof/>
          </w:rPr>
          <w:t>Benefits of reporting</w:t>
        </w:r>
        <w:r w:rsidR="009013A2">
          <w:rPr>
            <w:noProof/>
            <w:webHidden/>
          </w:rPr>
          <w:tab/>
        </w:r>
        <w:r w:rsidR="009013A2">
          <w:rPr>
            <w:noProof/>
            <w:webHidden/>
          </w:rPr>
          <w:fldChar w:fldCharType="begin"/>
        </w:r>
        <w:r w:rsidR="009013A2">
          <w:rPr>
            <w:noProof/>
            <w:webHidden/>
          </w:rPr>
          <w:instrText xml:space="preserve"> PAGEREF _Toc380763529 \h </w:instrText>
        </w:r>
        <w:r w:rsidR="009013A2">
          <w:rPr>
            <w:noProof/>
            <w:webHidden/>
          </w:rPr>
        </w:r>
        <w:r w:rsidR="009013A2">
          <w:rPr>
            <w:noProof/>
            <w:webHidden/>
          </w:rPr>
          <w:fldChar w:fldCharType="separate"/>
        </w:r>
        <w:r w:rsidR="009013A2">
          <w:rPr>
            <w:noProof/>
            <w:webHidden/>
          </w:rPr>
          <w:t>1</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30" w:history="1">
        <w:r w:rsidR="009013A2" w:rsidRPr="005C7107">
          <w:rPr>
            <w:rStyle w:val="Hyperlink"/>
            <w:noProof/>
          </w:rPr>
          <w:t>Legal framework for reporting</w:t>
        </w:r>
        <w:r w:rsidR="009013A2">
          <w:rPr>
            <w:noProof/>
            <w:webHidden/>
          </w:rPr>
          <w:tab/>
        </w:r>
        <w:r w:rsidR="009013A2">
          <w:rPr>
            <w:noProof/>
            <w:webHidden/>
          </w:rPr>
          <w:fldChar w:fldCharType="begin"/>
        </w:r>
        <w:r w:rsidR="009013A2">
          <w:rPr>
            <w:noProof/>
            <w:webHidden/>
          </w:rPr>
          <w:instrText xml:space="preserve"> PAGEREF _Toc380763530 \h </w:instrText>
        </w:r>
        <w:r w:rsidR="009013A2">
          <w:rPr>
            <w:noProof/>
            <w:webHidden/>
          </w:rPr>
        </w:r>
        <w:r w:rsidR="009013A2">
          <w:rPr>
            <w:noProof/>
            <w:webHidden/>
          </w:rPr>
          <w:fldChar w:fldCharType="separate"/>
        </w:r>
        <w:r w:rsidR="009013A2">
          <w:rPr>
            <w:noProof/>
            <w:webHidden/>
          </w:rPr>
          <w:t>2</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31" w:history="1">
        <w:r w:rsidR="009013A2" w:rsidRPr="005C7107">
          <w:rPr>
            <w:rStyle w:val="Hyperlink"/>
            <w:noProof/>
          </w:rPr>
          <w:t>Principles for accounting &amp; reporting environmental impacts</w:t>
        </w:r>
        <w:r w:rsidR="009013A2">
          <w:rPr>
            <w:noProof/>
            <w:webHidden/>
          </w:rPr>
          <w:tab/>
        </w:r>
        <w:r w:rsidR="009013A2">
          <w:rPr>
            <w:noProof/>
            <w:webHidden/>
          </w:rPr>
          <w:fldChar w:fldCharType="begin"/>
        </w:r>
        <w:r w:rsidR="009013A2">
          <w:rPr>
            <w:noProof/>
            <w:webHidden/>
          </w:rPr>
          <w:instrText xml:space="preserve"> PAGEREF _Toc380763531 \h </w:instrText>
        </w:r>
        <w:r w:rsidR="009013A2">
          <w:rPr>
            <w:noProof/>
            <w:webHidden/>
          </w:rPr>
        </w:r>
        <w:r w:rsidR="009013A2">
          <w:rPr>
            <w:noProof/>
            <w:webHidden/>
          </w:rPr>
          <w:fldChar w:fldCharType="separate"/>
        </w:r>
        <w:r w:rsidR="009013A2">
          <w:rPr>
            <w:noProof/>
            <w:webHidden/>
          </w:rPr>
          <w:t>3</w:t>
        </w:r>
        <w:r w:rsidR="009013A2">
          <w:rPr>
            <w:noProof/>
            <w:webHidden/>
          </w:rPr>
          <w:fldChar w:fldCharType="end"/>
        </w:r>
      </w:hyperlink>
    </w:p>
    <w:p w:rsidR="009013A2" w:rsidRDefault="00C93591">
      <w:pPr>
        <w:pStyle w:val="TOC1"/>
        <w:rPr>
          <w:rFonts w:asciiTheme="minorHAnsi" w:eastAsiaTheme="minorEastAsia" w:hAnsiTheme="minorHAnsi" w:cstheme="minorBidi"/>
          <w:noProof/>
          <w:sz w:val="22"/>
          <w:lang w:eastAsia="en-GB"/>
        </w:rPr>
      </w:pPr>
      <w:hyperlink w:anchor="_Toc380763532" w:history="1">
        <w:r w:rsidR="009013A2" w:rsidRPr="005C7107">
          <w:rPr>
            <w:rStyle w:val="Hyperlink"/>
            <w:rFonts w:cs="Arial"/>
            <w:noProof/>
          </w:rPr>
          <w:t>Chapter 1:  Steps in reporting your environmental impacts</w:t>
        </w:r>
        <w:r w:rsidR="009013A2">
          <w:rPr>
            <w:noProof/>
            <w:webHidden/>
          </w:rPr>
          <w:tab/>
        </w:r>
        <w:r w:rsidR="009013A2">
          <w:rPr>
            <w:noProof/>
            <w:webHidden/>
          </w:rPr>
          <w:fldChar w:fldCharType="begin"/>
        </w:r>
        <w:r w:rsidR="009013A2">
          <w:rPr>
            <w:noProof/>
            <w:webHidden/>
          </w:rPr>
          <w:instrText xml:space="preserve"> PAGEREF _Toc380763532 \h </w:instrText>
        </w:r>
        <w:r w:rsidR="009013A2">
          <w:rPr>
            <w:noProof/>
            <w:webHidden/>
          </w:rPr>
        </w:r>
        <w:r w:rsidR="009013A2">
          <w:rPr>
            <w:noProof/>
            <w:webHidden/>
          </w:rPr>
          <w:fldChar w:fldCharType="separate"/>
        </w:r>
        <w:r w:rsidR="009013A2">
          <w:rPr>
            <w:noProof/>
            <w:webHidden/>
          </w:rPr>
          <w:t>5</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33" w:history="1">
        <w:r w:rsidR="009013A2" w:rsidRPr="005C7107">
          <w:rPr>
            <w:rStyle w:val="Hyperlink"/>
            <w:noProof/>
            <w:lang w:eastAsia="en-GB"/>
          </w:rPr>
          <w:t xml:space="preserve">Step 1: </w:t>
        </w:r>
        <w:r w:rsidR="009013A2" w:rsidRPr="005C7107">
          <w:rPr>
            <w:rStyle w:val="Hyperlink"/>
            <w:noProof/>
          </w:rPr>
          <w:t>Determine the boundaries of your organisation.  Do you need to report on all parts of your organisation?</w:t>
        </w:r>
        <w:r w:rsidR="009013A2">
          <w:rPr>
            <w:noProof/>
            <w:webHidden/>
          </w:rPr>
          <w:tab/>
        </w:r>
        <w:r w:rsidR="009013A2">
          <w:rPr>
            <w:noProof/>
            <w:webHidden/>
          </w:rPr>
          <w:fldChar w:fldCharType="begin"/>
        </w:r>
        <w:r w:rsidR="009013A2">
          <w:rPr>
            <w:noProof/>
            <w:webHidden/>
          </w:rPr>
          <w:instrText xml:space="preserve"> PAGEREF _Toc380763533 \h </w:instrText>
        </w:r>
        <w:r w:rsidR="009013A2">
          <w:rPr>
            <w:noProof/>
            <w:webHidden/>
          </w:rPr>
        </w:r>
        <w:r w:rsidR="009013A2">
          <w:rPr>
            <w:noProof/>
            <w:webHidden/>
          </w:rPr>
          <w:fldChar w:fldCharType="separate"/>
        </w:r>
        <w:r w:rsidR="009013A2">
          <w:rPr>
            <w:noProof/>
            <w:webHidden/>
          </w:rPr>
          <w:t>6</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34" w:history="1">
        <w:r w:rsidR="009013A2" w:rsidRPr="005C7107">
          <w:rPr>
            <w:rStyle w:val="Hyperlink"/>
            <w:noProof/>
          </w:rPr>
          <w:t>Step 2: Determine the period you should collect data</w:t>
        </w:r>
        <w:r w:rsidR="009013A2">
          <w:rPr>
            <w:noProof/>
            <w:webHidden/>
          </w:rPr>
          <w:tab/>
        </w:r>
        <w:r w:rsidR="009013A2">
          <w:rPr>
            <w:noProof/>
            <w:webHidden/>
          </w:rPr>
          <w:fldChar w:fldCharType="begin"/>
        </w:r>
        <w:r w:rsidR="009013A2">
          <w:rPr>
            <w:noProof/>
            <w:webHidden/>
          </w:rPr>
          <w:instrText xml:space="preserve"> PAGEREF _Toc380763534 \h </w:instrText>
        </w:r>
        <w:r w:rsidR="009013A2">
          <w:rPr>
            <w:noProof/>
            <w:webHidden/>
          </w:rPr>
        </w:r>
        <w:r w:rsidR="009013A2">
          <w:rPr>
            <w:noProof/>
            <w:webHidden/>
          </w:rPr>
          <w:fldChar w:fldCharType="separate"/>
        </w:r>
        <w:r w:rsidR="009013A2">
          <w:rPr>
            <w:noProof/>
            <w:webHidden/>
          </w:rPr>
          <w:t>7</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35" w:history="1">
        <w:r w:rsidR="009013A2" w:rsidRPr="005C7107">
          <w:rPr>
            <w:rStyle w:val="Hyperlink"/>
            <w:noProof/>
            <w:lang w:eastAsia="en-GB"/>
          </w:rPr>
          <w:t>Step 3: What are the key environmental impacts for your organisation</w:t>
        </w:r>
        <w:r w:rsidR="009013A2">
          <w:rPr>
            <w:noProof/>
            <w:webHidden/>
          </w:rPr>
          <w:tab/>
        </w:r>
        <w:r w:rsidR="009013A2">
          <w:rPr>
            <w:noProof/>
            <w:webHidden/>
          </w:rPr>
          <w:fldChar w:fldCharType="begin"/>
        </w:r>
        <w:r w:rsidR="009013A2">
          <w:rPr>
            <w:noProof/>
            <w:webHidden/>
          </w:rPr>
          <w:instrText xml:space="preserve"> PAGEREF _Toc380763535 \h </w:instrText>
        </w:r>
        <w:r w:rsidR="009013A2">
          <w:rPr>
            <w:noProof/>
            <w:webHidden/>
          </w:rPr>
        </w:r>
        <w:r w:rsidR="009013A2">
          <w:rPr>
            <w:noProof/>
            <w:webHidden/>
          </w:rPr>
          <w:fldChar w:fldCharType="separate"/>
        </w:r>
        <w:r w:rsidR="009013A2">
          <w:rPr>
            <w:noProof/>
            <w:webHidden/>
          </w:rPr>
          <w:t>7</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36" w:history="1">
        <w:r w:rsidR="009013A2" w:rsidRPr="005C7107">
          <w:rPr>
            <w:rStyle w:val="Hyperlink"/>
            <w:noProof/>
          </w:rPr>
          <w:t>Step 4: Measuring</w:t>
        </w:r>
        <w:r w:rsidR="009013A2">
          <w:rPr>
            <w:noProof/>
            <w:webHidden/>
          </w:rPr>
          <w:tab/>
        </w:r>
        <w:r w:rsidR="009013A2">
          <w:rPr>
            <w:noProof/>
            <w:webHidden/>
          </w:rPr>
          <w:fldChar w:fldCharType="begin"/>
        </w:r>
        <w:r w:rsidR="009013A2">
          <w:rPr>
            <w:noProof/>
            <w:webHidden/>
          </w:rPr>
          <w:instrText xml:space="preserve"> PAGEREF _Toc380763536 \h </w:instrText>
        </w:r>
        <w:r w:rsidR="009013A2">
          <w:rPr>
            <w:noProof/>
            <w:webHidden/>
          </w:rPr>
        </w:r>
        <w:r w:rsidR="009013A2">
          <w:rPr>
            <w:noProof/>
            <w:webHidden/>
          </w:rPr>
          <w:fldChar w:fldCharType="separate"/>
        </w:r>
        <w:r w:rsidR="009013A2">
          <w:rPr>
            <w:noProof/>
            <w:webHidden/>
          </w:rPr>
          <w:t>8</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37" w:history="1">
        <w:r w:rsidR="009013A2" w:rsidRPr="005C7107">
          <w:rPr>
            <w:rStyle w:val="Hyperlink"/>
            <w:noProof/>
          </w:rPr>
          <w:t>Step 5: Reporting</w:t>
        </w:r>
        <w:r w:rsidR="009013A2">
          <w:rPr>
            <w:noProof/>
            <w:webHidden/>
          </w:rPr>
          <w:tab/>
        </w:r>
        <w:r w:rsidR="009013A2">
          <w:rPr>
            <w:noProof/>
            <w:webHidden/>
          </w:rPr>
          <w:fldChar w:fldCharType="begin"/>
        </w:r>
        <w:r w:rsidR="009013A2">
          <w:rPr>
            <w:noProof/>
            <w:webHidden/>
          </w:rPr>
          <w:instrText xml:space="preserve"> PAGEREF _Toc380763537 \h </w:instrText>
        </w:r>
        <w:r w:rsidR="009013A2">
          <w:rPr>
            <w:noProof/>
            <w:webHidden/>
          </w:rPr>
        </w:r>
        <w:r w:rsidR="009013A2">
          <w:rPr>
            <w:noProof/>
            <w:webHidden/>
          </w:rPr>
          <w:fldChar w:fldCharType="separate"/>
        </w:r>
        <w:r w:rsidR="009013A2">
          <w:rPr>
            <w:noProof/>
            <w:webHidden/>
          </w:rPr>
          <w:t>10</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38" w:history="1">
        <w:r w:rsidR="009013A2" w:rsidRPr="005C7107">
          <w:rPr>
            <w:rStyle w:val="Hyperlink"/>
            <w:noProof/>
          </w:rPr>
          <w:t>Action i: Intensity ratios/normalisation factors</w:t>
        </w:r>
        <w:r w:rsidR="009013A2">
          <w:rPr>
            <w:noProof/>
            <w:webHidden/>
          </w:rPr>
          <w:tab/>
        </w:r>
        <w:r w:rsidR="009013A2">
          <w:rPr>
            <w:noProof/>
            <w:webHidden/>
          </w:rPr>
          <w:fldChar w:fldCharType="begin"/>
        </w:r>
        <w:r w:rsidR="009013A2">
          <w:rPr>
            <w:noProof/>
            <w:webHidden/>
          </w:rPr>
          <w:instrText xml:space="preserve"> PAGEREF _Toc380763538 \h </w:instrText>
        </w:r>
        <w:r w:rsidR="009013A2">
          <w:rPr>
            <w:noProof/>
            <w:webHidden/>
          </w:rPr>
        </w:r>
        <w:r w:rsidR="009013A2">
          <w:rPr>
            <w:noProof/>
            <w:webHidden/>
          </w:rPr>
          <w:fldChar w:fldCharType="separate"/>
        </w:r>
        <w:r w:rsidR="009013A2">
          <w:rPr>
            <w:noProof/>
            <w:webHidden/>
          </w:rPr>
          <w:t>11</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39" w:history="1">
        <w:r w:rsidR="009013A2" w:rsidRPr="005C7107">
          <w:rPr>
            <w:rStyle w:val="Hyperlink"/>
            <w:noProof/>
          </w:rPr>
          <w:t>Action ii: Setting a base year</w:t>
        </w:r>
        <w:r w:rsidR="009013A2">
          <w:rPr>
            <w:noProof/>
            <w:webHidden/>
          </w:rPr>
          <w:tab/>
        </w:r>
        <w:r w:rsidR="009013A2">
          <w:rPr>
            <w:noProof/>
            <w:webHidden/>
          </w:rPr>
          <w:fldChar w:fldCharType="begin"/>
        </w:r>
        <w:r w:rsidR="009013A2">
          <w:rPr>
            <w:noProof/>
            <w:webHidden/>
          </w:rPr>
          <w:instrText xml:space="preserve"> PAGEREF _Toc380763539 \h </w:instrText>
        </w:r>
        <w:r w:rsidR="009013A2">
          <w:rPr>
            <w:noProof/>
            <w:webHidden/>
          </w:rPr>
        </w:r>
        <w:r w:rsidR="009013A2">
          <w:rPr>
            <w:noProof/>
            <w:webHidden/>
          </w:rPr>
          <w:fldChar w:fldCharType="separate"/>
        </w:r>
        <w:r w:rsidR="009013A2">
          <w:rPr>
            <w:noProof/>
            <w:webHidden/>
          </w:rPr>
          <w:t>12</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40" w:history="1">
        <w:r w:rsidR="009013A2" w:rsidRPr="005C7107">
          <w:rPr>
            <w:rStyle w:val="Hyperlink"/>
            <w:noProof/>
            <w:lang w:eastAsia="en-GB"/>
          </w:rPr>
          <w:t>Action iii: Setting a target</w:t>
        </w:r>
        <w:r w:rsidR="009013A2">
          <w:rPr>
            <w:noProof/>
            <w:webHidden/>
          </w:rPr>
          <w:tab/>
        </w:r>
        <w:r w:rsidR="009013A2">
          <w:rPr>
            <w:noProof/>
            <w:webHidden/>
          </w:rPr>
          <w:fldChar w:fldCharType="begin"/>
        </w:r>
        <w:r w:rsidR="009013A2">
          <w:rPr>
            <w:noProof/>
            <w:webHidden/>
          </w:rPr>
          <w:instrText xml:space="preserve"> PAGEREF _Toc380763540 \h </w:instrText>
        </w:r>
        <w:r w:rsidR="009013A2">
          <w:rPr>
            <w:noProof/>
            <w:webHidden/>
          </w:rPr>
        </w:r>
        <w:r w:rsidR="009013A2">
          <w:rPr>
            <w:noProof/>
            <w:webHidden/>
          </w:rPr>
          <w:fldChar w:fldCharType="separate"/>
        </w:r>
        <w:r w:rsidR="009013A2">
          <w:rPr>
            <w:noProof/>
            <w:webHidden/>
          </w:rPr>
          <w:t>15</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41" w:history="1">
        <w:r w:rsidR="009013A2" w:rsidRPr="005C7107">
          <w:rPr>
            <w:rStyle w:val="Hyperlink"/>
            <w:noProof/>
          </w:rPr>
          <w:t>Action iv: Assurance and verification</w:t>
        </w:r>
        <w:r w:rsidR="009013A2">
          <w:rPr>
            <w:noProof/>
            <w:webHidden/>
          </w:rPr>
          <w:tab/>
        </w:r>
        <w:r w:rsidR="009013A2">
          <w:rPr>
            <w:noProof/>
            <w:webHidden/>
          </w:rPr>
          <w:fldChar w:fldCharType="begin"/>
        </w:r>
        <w:r w:rsidR="009013A2">
          <w:rPr>
            <w:noProof/>
            <w:webHidden/>
          </w:rPr>
          <w:instrText xml:space="preserve"> PAGEREF _Toc380763541 \h </w:instrText>
        </w:r>
        <w:r w:rsidR="009013A2">
          <w:rPr>
            <w:noProof/>
            <w:webHidden/>
          </w:rPr>
        </w:r>
        <w:r w:rsidR="009013A2">
          <w:rPr>
            <w:noProof/>
            <w:webHidden/>
          </w:rPr>
          <w:fldChar w:fldCharType="separate"/>
        </w:r>
        <w:r w:rsidR="009013A2">
          <w:rPr>
            <w:noProof/>
            <w:webHidden/>
          </w:rPr>
          <w:t>15</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42" w:history="1">
        <w:r w:rsidR="009013A2" w:rsidRPr="005C7107">
          <w:rPr>
            <w:rStyle w:val="Hyperlink"/>
            <w:noProof/>
          </w:rPr>
          <w:t>Action v: Your upstream supply chain</w:t>
        </w:r>
        <w:r w:rsidR="009013A2">
          <w:rPr>
            <w:noProof/>
            <w:webHidden/>
          </w:rPr>
          <w:tab/>
        </w:r>
        <w:r w:rsidR="009013A2">
          <w:rPr>
            <w:noProof/>
            <w:webHidden/>
          </w:rPr>
          <w:fldChar w:fldCharType="begin"/>
        </w:r>
        <w:r w:rsidR="009013A2">
          <w:rPr>
            <w:noProof/>
            <w:webHidden/>
          </w:rPr>
          <w:instrText xml:space="preserve"> PAGEREF _Toc380763542 \h </w:instrText>
        </w:r>
        <w:r w:rsidR="009013A2">
          <w:rPr>
            <w:noProof/>
            <w:webHidden/>
          </w:rPr>
        </w:r>
        <w:r w:rsidR="009013A2">
          <w:rPr>
            <w:noProof/>
            <w:webHidden/>
          </w:rPr>
          <w:fldChar w:fldCharType="separate"/>
        </w:r>
        <w:r w:rsidR="009013A2">
          <w:rPr>
            <w:noProof/>
            <w:webHidden/>
          </w:rPr>
          <w:t>17</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43" w:history="1">
        <w:r w:rsidR="009013A2" w:rsidRPr="005C7107">
          <w:rPr>
            <w:rStyle w:val="Hyperlink"/>
            <w:noProof/>
          </w:rPr>
          <w:t>Action vi: Your downstream impacts</w:t>
        </w:r>
        <w:r w:rsidR="009013A2">
          <w:rPr>
            <w:noProof/>
            <w:webHidden/>
          </w:rPr>
          <w:tab/>
        </w:r>
        <w:r w:rsidR="009013A2">
          <w:rPr>
            <w:noProof/>
            <w:webHidden/>
          </w:rPr>
          <w:fldChar w:fldCharType="begin"/>
        </w:r>
        <w:r w:rsidR="009013A2">
          <w:rPr>
            <w:noProof/>
            <w:webHidden/>
          </w:rPr>
          <w:instrText xml:space="preserve"> PAGEREF _Toc380763543 \h </w:instrText>
        </w:r>
        <w:r w:rsidR="009013A2">
          <w:rPr>
            <w:noProof/>
            <w:webHidden/>
          </w:rPr>
        </w:r>
        <w:r w:rsidR="009013A2">
          <w:rPr>
            <w:noProof/>
            <w:webHidden/>
          </w:rPr>
          <w:fldChar w:fldCharType="separate"/>
        </w:r>
        <w:r w:rsidR="009013A2">
          <w:rPr>
            <w:noProof/>
            <w:webHidden/>
          </w:rPr>
          <w:t>18</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44" w:history="1">
        <w:r w:rsidR="009013A2" w:rsidRPr="005C7107">
          <w:rPr>
            <w:rStyle w:val="Hyperlink"/>
            <w:noProof/>
          </w:rPr>
          <w:t>Action vii: Business continuity &amp; environmental risks</w:t>
        </w:r>
        <w:r w:rsidR="009013A2">
          <w:rPr>
            <w:noProof/>
            <w:webHidden/>
          </w:rPr>
          <w:tab/>
        </w:r>
        <w:r w:rsidR="009013A2">
          <w:rPr>
            <w:noProof/>
            <w:webHidden/>
          </w:rPr>
          <w:fldChar w:fldCharType="begin"/>
        </w:r>
        <w:r w:rsidR="009013A2">
          <w:rPr>
            <w:noProof/>
            <w:webHidden/>
          </w:rPr>
          <w:instrText xml:space="preserve"> PAGEREF _Toc380763544 \h </w:instrText>
        </w:r>
        <w:r w:rsidR="009013A2">
          <w:rPr>
            <w:noProof/>
            <w:webHidden/>
          </w:rPr>
        </w:r>
        <w:r w:rsidR="009013A2">
          <w:rPr>
            <w:noProof/>
            <w:webHidden/>
          </w:rPr>
          <w:fldChar w:fldCharType="separate"/>
        </w:r>
        <w:r w:rsidR="009013A2">
          <w:rPr>
            <w:noProof/>
            <w:webHidden/>
          </w:rPr>
          <w:t>18</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45" w:history="1">
        <w:r w:rsidR="009013A2" w:rsidRPr="005C7107">
          <w:rPr>
            <w:rStyle w:val="Hyperlink"/>
            <w:noProof/>
          </w:rPr>
          <w:t>Recommendations</w:t>
        </w:r>
        <w:r w:rsidR="009013A2">
          <w:rPr>
            <w:noProof/>
            <w:webHidden/>
          </w:rPr>
          <w:tab/>
        </w:r>
        <w:r w:rsidR="009013A2">
          <w:rPr>
            <w:noProof/>
            <w:webHidden/>
          </w:rPr>
          <w:fldChar w:fldCharType="begin"/>
        </w:r>
        <w:r w:rsidR="009013A2">
          <w:rPr>
            <w:noProof/>
            <w:webHidden/>
          </w:rPr>
          <w:instrText xml:space="preserve"> PAGEREF _Toc380763545 \h </w:instrText>
        </w:r>
        <w:r w:rsidR="009013A2">
          <w:rPr>
            <w:noProof/>
            <w:webHidden/>
          </w:rPr>
        </w:r>
        <w:r w:rsidR="009013A2">
          <w:rPr>
            <w:noProof/>
            <w:webHidden/>
          </w:rPr>
          <w:fldChar w:fldCharType="separate"/>
        </w:r>
        <w:r w:rsidR="009013A2">
          <w:rPr>
            <w:noProof/>
            <w:webHidden/>
          </w:rPr>
          <w:t>19</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46" w:history="1">
        <w:r w:rsidR="009013A2" w:rsidRPr="005C7107">
          <w:rPr>
            <w:rStyle w:val="Hyperlink"/>
            <w:noProof/>
          </w:rPr>
          <w:t>Climate Ready</w:t>
        </w:r>
        <w:r w:rsidR="009013A2">
          <w:rPr>
            <w:noProof/>
            <w:webHidden/>
          </w:rPr>
          <w:tab/>
        </w:r>
        <w:r w:rsidR="009013A2">
          <w:rPr>
            <w:noProof/>
            <w:webHidden/>
          </w:rPr>
          <w:fldChar w:fldCharType="begin"/>
        </w:r>
        <w:r w:rsidR="009013A2">
          <w:rPr>
            <w:noProof/>
            <w:webHidden/>
          </w:rPr>
          <w:instrText xml:space="preserve"> PAGEREF _Toc380763546 \h </w:instrText>
        </w:r>
        <w:r w:rsidR="009013A2">
          <w:rPr>
            <w:noProof/>
            <w:webHidden/>
          </w:rPr>
        </w:r>
        <w:r w:rsidR="009013A2">
          <w:rPr>
            <w:noProof/>
            <w:webHidden/>
          </w:rPr>
          <w:fldChar w:fldCharType="separate"/>
        </w:r>
        <w:r w:rsidR="009013A2">
          <w:rPr>
            <w:noProof/>
            <w:webHidden/>
          </w:rPr>
          <w:t>20</w:t>
        </w:r>
        <w:r w:rsidR="009013A2">
          <w:rPr>
            <w:noProof/>
            <w:webHidden/>
          </w:rPr>
          <w:fldChar w:fldCharType="end"/>
        </w:r>
      </w:hyperlink>
    </w:p>
    <w:p w:rsidR="009013A2" w:rsidRDefault="00C93591">
      <w:pPr>
        <w:pStyle w:val="TOC1"/>
        <w:rPr>
          <w:rFonts w:asciiTheme="minorHAnsi" w:eastAsiaTheme="minorEastAsia" w:hAnsiTheme="minorHAnsi" w:cstheme="minorBidi"/>
          <w:noProof/>
          <w:sz w:val="22"/>
          <w:lang w:eastAsia="en-GB"/>
        </w:rPr>
      </w:pPr>
      <w:hyperlink w:anchor="_Toc380763547" w:history="1">
        <w:r w:rsidR="009013A2" w:rsidRPr="005C7107">
          <w:rPr>
            <w:rStyle w:val="Hyperlink"/>
            <w:rFonts w:cs="Arial"/>
            <w:noProof/>
          </w:rPr>
          <w:t>Chapter 2: Guidance on mandatory reporting requirements for quoted companies</w:t>
        </w:r>
        <w:r w:rsidR="009013A2">
          <w:rPr>
            <w:noProof/>
            <w:webHidden/>
          </w:rPr>
          <w:tab/>
        </w:r>
        <w:r w:rsidR="009013A2">
          <w:rPr>
            <w:noProof/>
            <w:webHidden/>
          </w:rPr>
          <w:fldChar w:fldCharType="begin"/>
        </w:r>
        <w:r w:rsidR="009013A2">
          <w:rPr>
            <w:noProof/>
            <w:webHidden/>
          </w:rPr>
          <w:instrText xml:space="preserve"> PAGEREF _Toc380763547 \h </w:instrText>
        </w:r>
        <w:r w:rsidR="009013A2">
          <w:rPr>
            <w:noProof/>
            <w:webHidden/>
          </w:rPr>
        </w:r>
        <w:r w:rsidR="009013A2">
          <w:rPr>
            <w:noProof/>
            <w:webHidden/>
          </w:rPr>
          <w:fldChar w:fldCharType="separate"/>
        </w:r>
        <w:r w:rsidR="009013A2">
          <w:rPr>
            <w:noProof/>
            <w:webHidden/>
          </w:rPr>
          <w:t>21</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48" w:history="1">
        <w:r w:rsidR="009013A2" w:rsidRPr="005C7107">
          <w:rPr>
            <w:rStyle w:val="Hyperlink"/>
            <w:noProof/>
          </w:rPr>
          <w:t>Is my company required to report?</w:t>
        </w:r>
        <w:r w:rsidR="009013A2">
          <w:rPr>
            <w:noProof/>
            <w:webHidden/>
          </w:rPr>
          <w:tab/>
        </w:r>
        <w:r w:rsidR="009013A2">
          <w:rPr>
            <w:noProof/>
            <w:webHidden/>
          </w:rPr>
          <w:fldChar w:fldCharType="begin"/>
        </w:r>
        <w:r w:rsidR="009013A2">
          <w:rPr>
            <w:noProof/>
            <w:webHidden/>
          </w:rPr>
          <w:instrText xml:space="preserve"> PAGEREF _Toc380763548 \h </w:instrText>
        </w:r>
        <w:r w:rsidR="009013A2">
          <w:rPr>
            <w:noProof/>
            <w:webHidden/>
          </w:rPr>
        </w:r>
        <w:r w:rsidR="009013A2">
          <w:rPr>
            <w:noProof/>
            <w:webHidden/>
          </w:rPr>
          <w:fldChar w:fldCharType="separate"/>
        </w:r>
        <w:r w:rsidR="009013A2">
          <w:rPr>
            <w:noProof/>
            <w:webHidden/>
          </w:rPr>
          <w:t>21</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49" w:history="1">
        <w:r w:rsidR="009013A2" w:rsidRPr="005C7107">
          <w:rPr>
            <w:rStyle w:val="Hyperlink"/>
            <w:noProof/>
          </w:rPr>
          <w:t>When will my company have to start reporting?</w:t>
        </w:r>
        <w:r w:rsidR="009013A2">
          <w:rPr>
            <w:noProof/>
            <w:webHidden/>
          </w:rPr>
          <w:tab/>
        </w:r>
        <w:r w:rsidR="009013A2">
          <w:rPr>
            <w:noProof/>
            <w:webHidden/>
          </w:rPr>
          <w:fldChar w:fldCharType="begin"/>
        </w:r>
        <w:r w:rsidR="009013A2">
          <w:rPr>
            <w:noProof/>
            <w:webHidden/>
          </w:rPr>
          <w:instrText xml:space="preserve"> PAGEREF _Toc380763549 \h </w:instrText>
        </w:r>
        <w:r w:rsidR="009013A2">
          <w:rPr>
            <w:noProof/>
            <w:webHidden/>
          </w:rPr>
        </w:r>
        <w:r w:rsidR="009013A2">
          <w:rPr>
            <w:noProof/>
            <w:webHidden/>
          </w:rPr>
          <w:fldChar w:fldCharType="separate"/>
        </w:r>
        <w:r w:rsidR="009013A2">
          <w:rPr>
            <w:noProof/>
            <w:webHidden/>
          </w:rPr>
          <w:t>21</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50" w:history="1">
        <w:r w:rsidR="009013A2" w:rsidRPr="005C7107">
          <w:rPr>
            <w:rStyle w:val="Hyperlink"/>
            <w:noProof/>
          </w:rPr>
          <w:t>What period should I collect data for?</w:t>
        </w:r>
        <w:r w:rsidR="009013A2">
          <w:rPr>
            <w:noProof/>
            <w:webHidden/>
          </w:rPr>
          <w:tab/>
        </w:r>
        <w:r w:rsidR="009013A2">
          <w:rPr>
            <w:noProof/>
            <w:webHidden/>
          </w:rPr>
          <w:fldChar w:fldCharType="begin"/>
        </w:r>
        <w:r w:rsidR="009013A2">
          <w:rPr>
            <w:noProof/>
            <w:webHidden/>
          </w:rPr>
          <w:instrText xml:space="preserve"> PAGEREF _Toc380763550 \h </w:instrText>
        </w:r>
        <w:r w:rsidR="009013A2">
          <w:rPr>
            <w:noProof/>
            <w:webHidden/>
          </w:rPr>
        </w:r>
        <w:r w:rsidR="009013A2">
          <w:rPr>
            <w:noProof/>
            <w:webHidden/>
          </w:rPr>
          <w:fldChar w:fldCharType="separate"/>
        </w:r>
        <w:r w:rsidR="009013A2">
          <w:rPr>
            <w:noProof/>
            <w:webHidden/>
          </w:rPr>
          <w:t>22</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51" w:history="1">
        <w:r w:rsidR="009013A2" w:rsidRPr="005C7107">
          <w:rPr>
            <w:rStyle w:val="Hyperlink"/>
            <w:noProof/>
          </w:rPr>
          <w:t>What must my company report?</w:t>
        </w:r>
        <w:r w:rsidR="009013A2">
          <w:rPr>
            <w:noProof/>
            <w:webHidden/>
          </w:rPr>
          <w:tab/>
        </w:r>
        <w:r w:rsidR="009013A2">
          <w:rPr>
            <w:noProof/>
            <w:webHidden/>
          </w:rPr>
          <w:fldChar w:fldCharType="begin"/>
        </w:r>
        <w:r w:rsidR="009013A2">
          <w:rPr>
            <w:noProof/>
            <w:webHidden/>
          </w:rPr>
          <w:instrText xml:space="preserve"> PAGEREF _Toc380763551 \h </w:instrText>
        </w:r>
        <w:r w:rsidR="009013A2">
          <w:rPr>
            <w:noProof/>
            <w:webHidden/>
          </w:rPr>
        </w:r>
        <w:r w:rsidR="009013A2">
          <w:rPr>
            <w:noProof/>
            <w:webHidden/>
          </w:rPr>
          <w:fldChar w:fldCharType="separate"/>
        </w:r>
        <w:r w:rsidR="009013A2">
          <w:rPr>
            <w:noProof/>
            <w:webHidden/>
          </w:rPr>
          <w:t>23</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52" w:history="1">
        <w:r w:rsidR="009013A2" w:rsidRPr="005C7107">
          <w:rPr>
            <w:rStyle w:val="Hyperlink"/>
            <w:noProof/>
          </w:rPr>
          <w:t>Must I report all my emissions?</w:t>
        </w:r>
        <w:r w:rsidR="009013A2">
          <w:rPr>
            <w:noProof/>
            <w:webHidden/>
          </w:rPr>
          <w:tab/>
        </w:r>
        <w:r w:rsidR="009013A2">
          <w:rPr>
            <w:noProof/>
            <w:webHidden/>
          </w:rPr>
          <w:fldChar w:fldCharType="begin"/>
        </w:r>
        <w:r w:rsidR="009013A2">
          <w:rPr>
            <w:noProof/>
            <w:webHidden/>
          </w:rPr>
          <w:instrText xml:space="preserve"> PAGEREF _Toc380763552 \h </w:instrText>
        </w:r>
        <w:r w:rsidR="009013A2">
          <w:rPr>
            <w:noProof/>
            <w:webHidden/>
          </w:rPr>
        </w:r>
        <w:r w:rsidR="009013A2">
          <w:rPr>
            <w:noProof/>
            <w:webHidden/>
          </w:rPr>
          <w:fldChar w:fldCharType="separate"/>
        </w:r>
        <w:r w:rsidR="009013A2">
          <w:rPr>
            <w:noProof/>
            <w:webHidden/>
          </w:rPr>
          <w:t>24</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53" w:history="1">
        <w:r w:rsidR="009013A2" w:rsidRPr="005C7107">
          <w:rPr>
            <w:rStyle w:val="Hyperlink"/>
            <w:noProof/>
          </w:rPr>
          <w:t>Comply or explain</w:t>
        </w:r>
        <w:r w:rsidR="009013A2">
          <w:rPr>
            <w:noProof/>
            <w:webHidden/>
          </w:rPr>
          <w:tab/>
        </w:r>
        <w:r w:rsidR="009013A2">
          <w:rPr>
            <w:noProof/>
            <w:webHidden/>
          </w:rPr>
          <w:fldChar w:fldCharType="begin"/>
        </w:r>
        <w:r w:rsidR="009013A2">
          <w:rPr>
            <w:noProof/>
            <w:webHidden/>
          </w:rPr>
          <w:instrText xml:space="preserve"> PAGEREF _Toc380763553 \h </w:instrText>
        </w:r>
        <w:r w:rsidR="009013A2">
          <w:rPr>
            <w:noProof/>
            <w:webHidden/>
          </w:rPr>
        </w:r>
        <w:r w:rsidR="009013A2">
          <w:rPr>
            <w:noProof/>
            <w:webHidden/>
          </w:rPr>
          <w:fldChar w:fldCharType="separate"/>
        </w:r>
        <w:r w:rsidR="009013A2">
          <w:rPr>
            <w:noProof/>
            <w:webHidden/>
          </w:rPr>
          <w:t>26</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54" w:history="1">
        <w:r w:rsidR="009013A2" w:rsidRPr="005C7107">
          <w:rPr>
            <w:rStyle w:val="Hyperlink"/>
            <w:noProof/>
          </w:rPr>
          <w:t>Must I use a particular methodology for my calculations?</w:t>
        </w:r>
        <w:r w:rsidR="009013A2">
          <w:rPr>
            <w:noProof/>
            <w:webHidden/>
          </w:rPr>
          <w:tab/>
        </w:r>
        <w:r w:rsidR="009013A2">
          <w:rPr>
            <w:noProof/>
            <w:webHidden/>
          </w:rPr>
          <w:fldChar w:fldCharType="begin"/>
        </w:r>
        <w:r w:rsidR="009013A2">
          <w:rPr>
            <w:noProof/>
            <w:webHidden/>
          </w:rPr>
          <w:instrText xml:space="preserve"> PAGEREF _Toc380763554 \h </w:instrText>
        </w:r>
        <w:r w:rsidR="009013A2">
          <w:rPr>
            <w:noProof/>
            <w:webHidden/>
          </w:rPr>
        </w:r>
        <w:r w:rsidR="009013A2">
          <w:rPr>
            <w:noProof/>
            <w:webHidden/>
          </w:rPr>
          <w:fldChar w:fldCharType="separate"/>
        </w:r>
        <w:r w:rsidR="009013A2">
          <w:rPr>
            <w:noProof/>
            <w:webHidden/>
          </w:rPr>
          <w:t>27</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55" w:history="1">
        <w:r w:rsidR="009013A2" w:rsidRPr="005C7107">
          <w:rPr>
            <w:rStyle w:val="Hyperlink"/>
            <w:noProof/>
          </w:rPr>
          <w:t>Must I show emissions over time?</w:t>
        </w:r>
        <w:r w:rsidR="009013A2">
          <w:rPr>
            <w:noProof/>
            <w:webHidden/>
          </w:rPr>
          <w:tab/>
        </w:r>
        <w:r w:rsidR="009013A2">
          <w:rPr>
            <w:noProof/>
            <w:webHidden/>
          </w:rPr>
          <w:fldChar w:fldCharType="begin"/>
        </w:r>
        <w:r w:rsidR="009013A2">
          <w:rPr>
            <w:noProof/>
            <w:webHidden/>
          </w:rPr>
          <w:instrText xml:space="preserve"> PAGEREF _Toc380763555 \h </w:instrText>
        </w:r>
        <w:r w:rsidR="009013A2">
          <w:rPr>
            <w:noProof/>
            <w:webHidden/>
          </w:rPr>
        </w:r>
        <w:r w:rsidR="009013A2">
          <w:rPr>
            <w:noProof/>
            <w:webHidden/>
          </w:rPr>
          <w:fldChar w:fldCharType="separate"/>
        </w:r>
        <w:r w:rsidR="009013A2">
          <w:rPr>
            <w:noProof/>
            <w:webHidden/>
          </w:rPr>
          <w:t>29</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56" w:history="1">
        <w:r w:rsidR="009013A2" w:rsidRPr="005C7107">
          <w:rPr>
            <w:rStyle w:val="Hyperlink"/>
            <w:noProof/>
          </w:rPr>
          <w:t>Intensity ratios</w:t>
        </w:r>
        <w:r w:rsidR="009013A2">
          <w:rPr>
            <w:noProof/>
            <w:webHidden/>
          </w:rPr>
          <w:tab/>
        </w:r>
        <w:r w:rsidR="009013A2">
          <w:rPr>
            <w:noProof/>
            <w:webHidden/>
          </w:rPr>
          <w:fldChar w:fldCharType="begin"/>
        </w:r>
        <w:r w:rsidR="009013A2">
          <w:rPr>
            <w:noProof/>
            <w:webHidden/>
          </w:rPr>
          <w:instrText xml:space="preserve"> PAGEREF _Toc380763556 \h </w:instrText>
        </w:r>
        <w:r w:rsidR="009013A2">
          <w:rPr>
            <w:noProof/>
            <w:webHidden/>
          </w:rPr>
        </w:r>
        <w:r w:rsidR="009013A2">
          <w:rPr>
            <w:noProof/>
            <w:webHidden/>
          </w:rPr>
          <w:fldChar w:fldCharType="separate"/>
        </w:r>
        <w:r w:rsidR="009013A2">
          <w:rPr>
            <w:noProof/>
            <w:webHidden/>
          </w:rPr>
          <w:t>30</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57" w:history="1">
        <w:r w:rsidR="009013A2" w:rsidRPr="005C7107">
          <w:rPr>
            <w:rStyle w:val="Hyperlink"/>
            <w:noProof/>
          </w:rPr>
          <w:t>Should I get my emissions data verified?</w:t>
        </w:r>
        <w:r w:rsidR="009013A2">
          <w:rPr>
            <w:noProof/>
            <w:webHidden/>
          </w:rPr>
          <w:tab/>
        </w:r>
        <w:r w:rsidR="009013A2">
          <w:rPr>
            <w:noProof/>
            <w:webHidden/>
          </w:rPr>
          <w:fldChar w:fldCharType="begin"/>
        </w:r>
        <w:r w:rsidR="009013A2">
          <w:rPr>
            <w:noProof/>
            <w:webHidden/>
          </w:rPr>
          <w:instrText xml:space="preserve"> PAGEREF _Toc380763557 \h </w:instrText>
        </w:r>
        <w:r w:rsidR="009013A2">
          <w:rPr>
            <w:noProof/>
            <w:webHidden/>
          </w:rPr>
        </w:r>
        <w:r w:rsidR="009013A2">
          <w:rPr>
            <w:noProof/>
            <w:webHidden/>
          </w:rPr>
          <w:fldChar w:fldCharType="separate"/>
        </w:r>
        <w:r w:rsidR="009013A2">
          <w:rPr>
            <w:noProof/>
            <w:webHidden/>
          </w:rPr>
          <w:t>30</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58" w:history="1">
        <w:r w:rsidR="009013A2" w:rsidRPr="005C7107">
          <w:rPr>
            <w:rStyle w:val="Hyperlink"/>
            <w:noProof/>
          </w:rPr>
          <w:t>Example corporate GHG report</w:t>
        </w:r>
        <w:r w:rsidR="009013A2">
          <w:rPr>
            <w:noProof/>
            <w:webHidden/>
          </w:rPr>
          <w:tab/>
        </w:r>
        <w:r w:rsidR="009013A2">
          <w:rPr>
            <w:noProof/>
            <w:webHidden/>
          </w:rPr>
          <w:fldChar w:fldCharType="begin"/>
        </w:r>
        <w:r w:rsidR="009013A2">
          <w:rPr>
            <w:noProof/>
            <w:webHidden/>
          </w:rPr>
          <w:instrText xml:space="preserve"> PAGEREF _Toc380763558 \h </w:instrText>
        </w:r>
        <w:r w:rsidR="009013A2">
          <w:rPr>
            <w:noProof/>
            <w:webHidden/>
          </w:rPr>
        </w:r>
        <w:r w:rsidR="009013A2">
          <w:rPr>
            <w:noProof/>
            <w:webHidden/>
          </w:rPr>
          <w:fldChar w:fldCharType="separate"/>
        </w:r>
        <w:r w:rsidR="009013A2">
          <w:rPr>
            <w:noProof/>
            <w:webHidden/>
          </w:rPr>
          <w:t>31</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59" w:history="1">
        <w:r w:rsidR="009013A2" w:rsidRPr="005C7107">
          <w:rPr>
            <w:rStyle w:val="Hyperlink"/>
            <w:noProof/>
          </w:rPr>
          <w:t>Who will enforce mandatory reporting requirements?</w:t>
        </w:r>
        <w:r w:rsidR="009013A2">
          <w:rPr>
            <w:noProof/>
            <w:webHidden/>
          </w:rPr>
          <w:tab/>
        </w:r>
        <w:r w:rsidR="009013A2">
          <w:rPr>
            <w:noProof/>
            <w:webHidden/>
          </w:rPr>
          <w:fldChar w:fldCharType="begin"/>
        </w:r>
        <w:r w:rsidR="009013A2">
          <w:rPr>
            <w:noProof/>
            <w:webHidden/>
          </w:rPr>
          <w:instrText xml:space="preserve"> PAGEREF _Toc380763559 \h </w:instrText>
        </w:r>
        <w:r w:rsidR="009013A2">
          <w:rPr>
            <w:noProof/>
            <w:webHidden/>
          </w:rPr>
        </w:r>
        <w:r w:rsidR="009013A2">
          <w:rPr>
            <w:noProof/>
            <w:webHidden/>
          </w:rPr>
          <w:fldChar w:fldCharType="separate"/>
        </w:r>
        <w:r w:rsidR="009013A2">
          <w:rPr>
            <w:noProof/>
            <w:webHidden/>
          </w:rPr>
          <w:t>32</w:t>
        </w:r>
        <w:r w:rsidR="009013A2">
          <w:rPr>
            <w:noProof/>
            <w:webHidden/>
          </w:rPr>
          <w:fldChar w:fldCharType="end"/>
        </w:r>
      </w:hyperlink>
    </w:p>
    <w:p w:rsidR="009013A2" w:rsidRDefault="00C93591">
      <w:pPr>
        <w:pStyle w:val="TOC1"/>
        <w:rPr>
          <w:rFonts w:asciiTheme="minorHAnsi" w:eastAsiaTheme="minorEastAsia" w:hAnsiTheme="minorHAnsi" w:cstheme="minorBidi"/>
          <w:noProof/>
          <w:sz w:val="22"/>
          <w:lang w:eastAsia="en-GB"/>
        </w:rPr>
      </w:pPr>
      <w:hyperlink w:anchor="_Toc380763560" w:history="1">
        <w:r w:rsidR="009013A2" w:rsidRPr="005C7107">
          <w:rPr>
            <w:rStyle w:val="Hyperlink"/>
            <w:rFonts w:cs="Arial"/>
            <w:noProof/>
          </w:rPr>
          <w:t>Chapter 3 – Voluntary greenhouse gas reporting</w:t>
        </w:r>
        <w:r w:rsidR="009013A2">
          <w:rPr>
            <w:noProof/>
            <w:webHidden/>
          </w:rPr>
          <w:tab/>
        </w:r>
        <w:r w:rsidR="009013A2">
          <w:rPr>
            <w:noProof/>
            <w:webHidden/>
          </w:rPr>
          <w:fldChar w:fldCharType="begin"/>
        </w:r>
        <w:r w:rsidR="009013A2">
          <w:rPr>
            <w:noProof/>
            <w:webHidden/>
          </w:rPr>
          <w:instrText xml:space="preserve"> PAGEREF _Toc380763560 \h </w:instrText>
        </w:r>
        <w:r w:rsidR="009013A2">
          <w:rPr>
            <w:noProof/>
            <w:webHidden/>
          </w:rPr>
        </w:r>
        <w:r w:rsidR="009013A2">
          <w:rPr>
            <w:noProof/>
            <w:webHidden/>
          </w:rPr>
          <w:fldChar w:fldCharType="separate"/>
        </w:r>
        <w:r w:rsidR="009013A2">
          <w:rPr>
            <w:noProof/>
            <w:webHidden/>
          </w:rPr>
          <w:t>34</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61" w:history="1">
        <w:r w:rsidR="009013A2" w:rsidRPr="005C7107">
          <w:rPr>
            <w:rStyle w:val="Hyperlink"/>
            <w:noProof/>
          </w:rPr>
          <w:t>What emissions should I report?</w:t>
        </w:r>
        <w:r w:rsidR="009013A2">
          <w:rPr>
            <w:noProof/>
            <w:webHidden/>
          </w:rPr>
          <w:tab/>
        </w:r>
        <w:r w:rsidR="009013A2">
          <w:rPr>
            <w:noProof/>
            <w:webHidden/>
          </w:rPr>
          <w:fldChar w:fldCharType="begin"/>
        </w:r>
        <w:r w:rsidR="009013A2">
          <w:rPr>
            <w:noProof/>
            <w:webHidden/>
          </w:rPr>
          <w:instrText xml:space="preserve"> PAGEREF _Toc380763561 \h </w:instrText>
        </w:r>
        <w:r w:rsidR="009013A2">
          <w:rPr>
            <w:noProof/>
            <w:webHidden/>
          </w:rPr>
        </w:r>
        <w:r w:rsidR="009013A2">
          <w:rPr>
            <w:noProof/>
            <w:webHidden/>
          </w:rPr>
          <w:fldChar w:fldCharType="separate"/>
        </w:r>
        <w:r w:rsidR="009013A2">
          <w:rPr>
            <w:noProof/>
            <w:webHidden/>
          </w:rPr>
          <w:t>34</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62" w:history="1">
        <w:r w:rsidR="009013A2" w:rsidRPr="005C7107">
          <w:rPr>
            <w:rStyle w:val="Hyperlink"/>
            <w:noProof/>
          </w:rPr>
          <w:t>Organising your data</w:t>
        </w:r>
        <w:r w:rsidR="009013A2">
          <w:rPr>
            <w:noProof/>
            <w:webHidden/>
          </w:rPr>
          <w:tab/>
        </w:r>
        <w:r w:rsidR="009013A2">
          <w:rPr>
            <w:noProof/>
            <w:webHidden/>
          </w:rPr>
          <w:fldChar w:fldCharType="begin"/>
        </w:r>
        <w:r w:rsidR="009013A2">
          <w:rPr>
            <w:noProof/>
            <w:webHidden/>
          </w:rPr>
          <w:instrText xml:space="preserve"> PAGEREF _Toc380763562 \h </w:instrText>
        </w:r>
        <w:r w:rsidR="009013A2">
          <w:rPr>
            <w:noProof/>
            <w:webHidden/>
          </w:rPr>
        </w:r>
        <w:r w:rsidR="009013A2">
          <w:rPr>
            <w:noProof/>
            <w:webHidden/>
          </w:rPr>
          <w:fldChar w:fldCharType="separate"/>
        </w:r>
        <w:r w:rsidR="009013A2">
          <w:rPr>
            <w:noProof/>
            <w:webHidden/>
          </w:rPr>
          <w:t>35</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63" w:history="1">
        <w:r w:rsidR="009013A2" w:rsidRPr="005C7107">
          <w:rPr>
            <w:rStyle w:val="Hyperlink"/>
            <w:noProof/>
          </w:rPr>
          <w:t>How do I calculate my GHG emissions?</w:t>
        </w:r>
        <w:r w:rsidR="009013A2">
          <w:rPr>
            <w:noProof/>
            <w:webHidden/>
          </w:rPr>
          <w:tab/>
        </w:r>
        <w:r w:rsidR="009013A2">
          <w:rPr>
            <w:noProof/>
            <w:webHidden/>
          </w:rPr>
          <w:fldChar w:fldCharType="begin"/>
        </w:r>
        <w:r w:rsidR="009013A2">
          <w:rPr>
            <w:noProof/>
            <w:webHidden/>
          </w:rPr>
          <w:instrText xml:space="preserve"> PAGEREF _Toc380763563 \h </w:instrText>
        </w:r>
        <w:r w:rsidR="009013A2">
          <w:rPr>
            <w:noProof/>
            <w:webHidden/>
          </w:rPr>
        </w:r>
        <w:r w:rsidR="009013A2">
          <w:rPr>
            <w:noProof/>
            <w:webHidden/>
          </w:rPr>
          <w:fldChar w:fldCharType="separate"/>
        </w:r>
        <w:r w:rsidR="009013A2">
          <w:rPr>
            <w:noProof/>
            <w:webHidden/>
          </w:rPr>
          <w:t>38</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64" w:history="1">
        <w:r w:rsidR="009013A2" w:rsidRPr="005C7107">
          <w:rPr>
            <w:rStyle w:val="Hyperlink"/>
            <w:noProof/>
          </w:rPr>
          <w:t>Emission reduction actions and gross and net emissions</w:t>
        </w:r>
        <w:r w:rsidR="009013A2">
          <w:rPr>
            <w:noProof/>
            <w:webHidden/>
          </w:rPr>
          <w:tab/>
        </w:r>
        <w:r w:rsidR="009013A2">
          <w:rPr>
            <w:noProof/>
            <w:webHidden/>
          </w:rPr>
          <w:fldChar w:fldCharType="begin"/>
        </w:r>
        <w:r w:rsidR="009013A2">
          <w:rPr>
            <w:noProof/>
            <w:webHidden/>
          </w:rPr>
          <w:instrText xml:space="preserve"> PAGEREF _Toc380763564 \h </w:instrText>
        </w:r>
        <w:r w:rsidR="009013A2">
          <w:rPr>
            <w:noProof/>
            <w:webHidden/>
          </w:rPr>
        </w:r>
        <w:r w:rsidR="009013A2">
          <w:rPr>
            <w:noProof/>
            <w:webHidden/>
          </w:rPr>
          <w:fldChar w:fldCharType="separate"/>
        </w:r>
        <w:r w:rsidR="009013A2">
          <w:rPr>
            <w:noProof/>
            <w:webHidden/>
          </w:rPr>
          <w:t>39</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65" w:history="1">
        <w:r w:rsidR="009013A2" w:rsidRPr="005C7107">
          <w:rPr>
            <w:rStyle w:val="Hyperlink"/>
            <w:noProof/>
          </w:rPr>
          <w:t>More on Scope 2</w:t>
        </w:r>
        <w:r w:rsidR="009013A2">
          <w:rPr>
            <w:noProof/>
            <w:webHidden/>
          </w:rPr>
          <w:tab/>
        </w:r>
        <w:r w:rsidR="009013A2">
          <w:rPr>
            <w:noProof/>
            <w:webHidden/>
          </w:rPr>
          <w:fldChar w:fldCharType="begin"/>
        </w:r>
        <w:r w:rsidR="009013A2">
          <w:rPr>
            <w:noProof/>
            <w:webHidden/>
          </w:rPr>
          <w:instrText xml:space="preserve"> PAGEREF _Toc380763565 \h </w:instrText>
        </w:r>
        <w:r w:rsidR="009013A2">
          <w:rPr>
            <w:noProof/>
            <w:webHidden/>
          </w:rPr>
        </w:r>
        <w:r w:rsidR="009013A2">
          <w:rPr>
            <w:noProof/>
            <w:webHidden/>
          </w:rPr>
          <w:fldChar w:fldCharType="separate"/>
        </w:r>
        <w:r w:rsidR="009013A2">
          <w:rPr>
            <w:noProof/>
            <w:webHidden/>
          </w:rPr>
          <w:t>40</w:t>
        </w:r>
        <w:r w:rsidR="009013A2">
          <w:rPr>
            <w:noProof/>
            <w:webHidden/>
          </w:rPr>
          <w:fldChar w:fldCharType="end"/>
        </w:r>
      </w:hyperlink>
    </w:p>
    <w:p w:rsidR="009013A2" w:rsidRDefault="00C93591">
      <w:pPr>
        <w:pStyle w:val="TOC1"/>
        <w:rPr>
          <w:rFonts w:asciiTheme="minorHAnsi" w:eastAsiaTheme="minorEastAsia" w:hAnsiTheme="minorHAnsi" w:cstheme="minorBidi"/>
          <w:noProof/>
          <w:sz w:val="22"/>
          <w:lang w:eastAsia="en-GB"/>
        </w:rPr>
      </w:pPr>
      <w:hyperlink w:anchor="_Toc380763566" w:history="1">
        <w:r w:rsidR="009013A2" w:rsidRPr="005C7107">
          <w:rPr>
            <w:rStyle w:val="Hyperlink"/>
            <w:noProof/>
          </w:rPr>
          <w:t>Chapter 4:  Water</w:t>
        </w:r>
        <w:r w:rsidR="009013A2">
          <w:rPr>
            <w:noProof/>
            <w:webHidden/>
          </w:rPr>
          <w:tab/>
        </w:r>
        <w:r w:rsidR="009013A2">
          <w:rPr>
            <w:noProof/>
            <w:webHidden/>
          </w:rPr>
          <w:fldChar w:fldCharType="begin"/>
        </w:r>
        <w:r w:rsidR="009013A2">
          <w:rPr>
            <w:noProof/>
            <w:webHidden/>
          </w:rPr>
          <w:instrText xml:space="preserve"> PAGEREF _Toc380763566 \h </w:instrText>
        </w:r>
        <w:r w:rsidR="009013A2">
          <w:rPr>
            <w:noProof/>
            <w:webHidden/>
          </w:rPr>
        </w:r>
        <w:r w:rsidR="009013A2">
          <w:rPr>
            <w:noProof/>
            <w:webHidden/>
          </w:rPr>
          <w:fldChar w:fldCharType="separate"/>
        </w:r>
        <w:r w:rsidR="009013A2">
          <w:rPr>
            <w:noProof/>
            <w:webHidden/>
          </w:rPr>
          <w:t>48</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67" w:history="1">
        <w:r w:rsidR="009013A2" w:rsidRPr="005C7107">
          <w:rPr>
            <w:rStyle w:val="Hyperlink"/>
            <w:rFonts w:cs="Arial"/>
            <w:noProof/>
          </w:rPr>
          <w:t>Why this matters to business</w:t>
        </w:r>
        <w:r w:rsidR="009013A2">
          <w:rPr>
            <w:noProof/>
            <w:webHidden/>
          </w:rPr>
          <w:tab/>
        </w:r>
        <w:r w:rsidR="009013A2">
          <w:rPr>
            <w:noProof/>
            <w:webHidden/>
          </w:rPr>
          <w:fldChar w:fldCharType="begin"/>
        </w:r>
        <w:r w:rsidR="009013A2">
          <w:rPr>
            <w:noProof/>
            <w:webHidden/>
          </w:rPr>
          <w:instrText xml:space="preserve"> PAGEREF _Toc380763567 \h </w:instrText>
        </w:r>
        <w:r w:rsidR="009013A2">
          <w:rPr>
            <w:noProof/>
            <w:webHidden/>
          </w:rPr>
        </w:r>
        <w:r w:rsidR="009013A2">
          <w:rPr>
            <w:noProof/>
            <w:webHidden/>
          </w:rPr>
          <w:fldChar w:fldCharType="separate"/>
        </w:r>
        <w:r w:rsidR="009013A2">
          <w:rPr>
            <w:noProof/>
            <w:webHidden/>
          </w:rPr>
          <w:t>48</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68" w:history="1">
        <w:r w:rsidR="009013A2" w:rsidRPr="005C7107">
          <w:rPr>
            <w:rStyle w:val="Hyperlink"/>
            <w:rFonts w:cs="Arial"/>
            <w:noProof/>
          </w:rPr>
          <w:t>What to measure and what to report</w:t>
        </w:r>
        <w:r w:rsidR="009013A2">
          <w:rPr>
            <w:noProof/>
            <w:webHidden/>
          </w:rPr>
          <w:tab/>
        </w:r>
        <w:r w:rsidR="009013A2">
          <w:rPr>
            <w:noProof/>
            <w:webHidden/>
          </w:rPr>
          <w:fldChar w:fldCharType="begin"/>
        </w:r>
        <w:r w:rsidR="009013A2">
          <w:rPr>
            <w:noProof/>
            <w:webHidden/>
          </w:rPr>
          <w:instrText xml:space="preserve"> PAGEREF _Toc380763568 \h </w:instrText>
        </w:r>
        <w:r w:rsidR="009013A2">
          <w:rPr>
            <w:noProof/>
            <w:webHidden/>
          </w:rPr>
        </w:r>
        <w:r w:rsidR="009013A2">
          <w:rPr>
            <w:noProof/>
            <w:webHidden/>
          </w:rPr>
          <w:fldChar w:fldCharType="separate"/>
        </w:r>
        <w:r w:rsidR="009013A2">
          <w:rPr>
            <w:noProof/>
            <w:webHidden/>
          </w:rPr>
          <w:t>48</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69" w:history="1">
        <w:r w:rsidR="009013A2" w:rsidRPr="005C7107">
          <w:rPr>
            <w:rStyle w:val="Hyperlink"/>
            <w:rFonts w:cs="Arial"/>
            <w:noProof/>
          </w:rPr>
          <w:t>Metrics/ Normalisation factors</w:t>
        </w:r>
        <w:r w:rsidR="009013A2">
          <w:rPr>
            <w:noProof/>
            <w:webHidden/>
          </w:rPr>
          <w:tab/>
        </w:r>
        <w:r w:rsidR="009013A2">
          <w:rPr>
            <w:noProof/>
            <w:webHidden/>
          </w:rPr>
          <w:fldChar w:fldCharType="begin"/>
        </w:r>
        <w:r w:rsidR="009013A2">
          <w:rPr>
            <w:noProof/>
            <w:webHidden/>
          </w:rPr>
          <w:instrText xml:space="preserve"> PAGEREF _Toc380763569 \h </w:instrText>
        </w:r>
        <w:r w:rsidR="009013A2">
          <w:rPr>
            <w:noProof/>
            <w:webHidden/>
          </w:rPr>
        </w:r>
        <w:r w:rsidR="009013A2">
          <w:rPr>
            <w:noProof/>
            <w:webHidden/>
          </w:rPr>
          <w:fldChar w:fldCharType="separate"/>
        </w:r>
        <w:r w:rsidR="009013A2">
          <w:rPr>
            <w:noProof/>
            <w:webHidden/>
          </w:rPr>
          <w:t>50</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70" w:history="1">
        <w:r w:rsidR="009013A2" w:rsidRPr="005C7107">
          <w:rPr>
            <w:rStyle w:val="Hyperlink"/>
            <w:rFonts w:cs="Arial"/>
            <w:noProof/>
            <w:lang w:eastAsia="en-GB"/>
          </w:rPr>
          <w:t>W</w:t>
        </w:r>
        <w:r w:rsidR="009013A2" w:rsidRPr="005C7107">
          <w:rPr>
            <w:rStyle w:val="Hyperlink"/>
            <w:rFonts w:cs="Arial"/>
            <w:noProof/>
          </w:rPr>
          <w:t>hat to measure and what to report in your supply chain</w:t>
        </w:r>
        <w:r w:rsidR="009013A2">
          <w:rPr>
            <w:noProof/>
            <w:webHidden/>
          </w:rPr>
          <w:tab/>
        </w:r>
        <w:r w:rsidR="009013A2">
          <w:rPr>
            <w:noProof/>
            <w:webHidden/>
          </w:rPr>
          <w:fldChar w:fldCharType="begin"/>
        </w:r>
        <w:r w:rsidR="009013A2">
          <w:rPr>
            <w:noProof/>
            <w:webHidden/>
          </w:rPr>
          <w:instrText xml:space="preserve"> PAGEREF _Toc380763570 \h </w:instrText>
        </w:r>
        <w:r w:rsidR="009013A2">
          <w:rPr>
            <w:noProof/>
            <w:webHidden/>
          </w:rPr>
        </w:r>
        <w:r w:rsidR="009013A2">
          <w:rPr>
            <w:noProof/>
            <w:webHidden/>
          </w:rPr>
          <w:fldChar w:fldCharType="separate"/>
        </w:r>
        <w:r w:rsidR="009013A2">
          <w:rPr>
            <w:noProof/>
            <w:webHidden/>
          </w:rPr>
          <w:t>50</w:t>
        </w:r>
        <w:r w:rsidR="009013A2">
          <w:rPr>
            <w:noProof/>
            <w:webHidden/>
          </w:rPr>
          <w:fldChar w:fldCharType="end"/>
        </w:r>
      </w:hyperlink>
    </w:p>
    <w:p w:rsidR="009013A2" w:rsidRDefault="00C93591">
      <w:pPr>
        <w:pStyle w:val="TOC1"/>
        <w:rPr>
          <w:rFonts w:asciiTheme="minorHAnsi" w:eastAsiaTheme="minorEastAsia" w:hAnsiTheme="minorHAnsi" w:cstheme="minorBidi"/>
          <w:noProof/>
          <w:sz w:val="22"/>
          <w:lang w:eastAsia="en-GB"/>
        </w:rPr>
      </w:pPr>
      <w:hyperlink w:anchor="_Toc380763571" w:history="1">
        <w:r w:rsidR="009013A2" w:rsidRPr="005C7107">
          <w:rPr>
            <w:rStyle w:val="Hyperlink"/>
            <w:noProof/>
          </w:rPr>
          <w:t>Chapter 5:  Waste</w:t>
        </w:r>
        <w:r w:rsidR="009013A2">
          <w:rPr>
            <w:noProof/>
            <w:webHidden/>
          </w:rPr>
          <w:tab/>
        </w:r>
        <w:r w:rsidR="009013A2">
          <w:rPr>
            <w:noProof/>
            <w:webHidden/>
          </w:rPr>
          <w:fldChar w:fldCharType="begin"/>
        </w:r>
        <w:r w:rsidR="009013A2">
          <w:rPr>
            <w:noProof/>
            <w:webHidden/>
          </w:rPr>
          <w:instrText xml:space="preserve"> PAGEREF _Toc380763571 \h </w:instrText>
        </w:r>
        <w:r w:rsidR="009013A2">
          <w:rPr>
            <w:noProof/>
            <w:webHidden/>
          </w:rPr>
        </w:r>
        <w:r w:rsidR="009013A2">
          <w:rPr>
            <w:noProof/>
            <w:webHidden/>
          </w:rPr>
          <w:fldChar w:fldCharType="separate"/>
        </w:r>
        <w:r w:rsidR="009013A2">
          <w:rPr>
            <w:noProof/>
            <w:webHidden/>
          </w:rPr>
          <w:t>52</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72" w:history="1">
        <w:r w:rsidR="009013A2" w:rsidRPr="005C7107">
          <w:rPr>
            <w:rStyle w:val="Hyperlink"/>
            <w:noProof/>
          </w:rPr>
          <w:t>Why this matters to business</w:t>
        </w:r>
        <w:r w:rsidR="009013A2">
          <w:rPr>
            <w:noProof/>
            <w:webHidden/>
          </w:rPr>
          <w:tab/>
        </w:r>
        <w:r w:rsidR="009013A2">
          <w:rPr>
            <w:noProof/>
            <w:webHidden/>
          </w:rPr>
          <w:fldChar w:fldCharType="begin"/>
        </w:r>
        <w:r w:rsidR="009013A2">
          <w:rPr>
            <w:noProof/>
            <w:webHidden/>
          </w:rPr>
          <w:instrText xml:space="preserve"> PAGEREF _Toc380763572 \h </w:instrText>
        </w:r>
        <w:r w:rsidR="009013A2">
          <w:rPr>
            <w:noProof/>
            <w:webHidden/>
          </w:rPr>
        </w:r>
        <w:r w:rsidR="009013A2">
          <w:rPr>
            <w:noProof/>
            <w:webHidden/>
          </w:rPr>
          <w:fldChar w:fldCharType="separate"/>
        </w:r>
        <w:r w:rsidR="009013A2">
          <w:rPr>
            <w:noProof/>
            <w:webHidden/>
          </w:rPr>
          <w:t>52</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73" w:history="1">
        <w:r w:rsidR="009013A2" w:rsidRPr="005C7107">
          <w:rPr>
            <w:rStyle w:val="Hyperlink"/>
            <w:noProof/>
          </w:rPr>
          <w:t>What to measure and what to report</w:t>
        </w:r>
        <w:r w:rsidR="009013A2">
          <w:rPr>
            <w:noProof/>
            <w:webHidden/>
          </w:rPr>
          <w:tab/>
        </w:r>
        <w:r w:rsidR="009013A2">
          <w:rPr>
            <w:noProof/>
            <w:webHidden/>
          </w:rPr>
          <w:fldChar w:fldCharType="begin"/>
        </w:r>
        <w:r w:rsidR="009013A2">
          <w:rPr>
            <w:noProof/>
            <w:webHidden/>
          </w:rPr>
          <w:instrText xml:space="preserve"> PAGEREF _Toc380763573 \h </w:instrText>
        </w:r>
        <w:r w:rsidR="009013A2">
          <w:rPr>
            <w:noProof/>
            <w:webHidden/>
          </w:rPr>
        </w:r>
        <w:r w:rsidR="009013A2">
          <w:rPr>
            <w:noProof/>
            <w:webHidden/>
          </w:rPr>
          <w:fldChar w:fldCharType="separate"/>
        </w:r>
        <w:r w:rsidR="009013A2">
          <w:rPr>
            <w:noProof/>
            <w:webHidden/>
          </w:rPr>
          <w:t>52</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74" w:history="1">
        <w:r w:rsidR="009013A2" w:rsidRPr="005C7107">
          <w:rPr>
            <w:rStyle w:val="Hyperlink"/>
            <w:noProof/>
          </w:rPr>
          <w:t>Metrics/ Normalisation factors</w:t>
        </w:r>
        <w:r w:rsidR="009013A2">
          <w:rPr>
            <w:noProof/>
            <w:webHidden/>
          </w:rPr>
          <w:tab/>
        </w:r>
        <w:r w:rsidR="009013A2">
          <w:rPr>
            <w:noProof/>
            <w:webHidden/>
          </w:rPr>
          <w:fldChar w:fldCharType="begin"/>
        </w:r>
        <w:r w:rsidR="009013A2">
          <w:rPr>
            <w:noProof/>
            <w:webHidden/>
          </w:rPr>
          <w:instrText xml:space="preserve"> PAGEREF _Toc380763574 \h </w:instrText>
        </w:r>
        <w:r w:rsidR="009013A2">
          <w:rPr>
            <w:noProof/>
            <w:webHidden/>
          </w:rPr>
        </w:r>
        <w:r w:rsidR="009013A2">
          <w:rPr>
            <w:noProof/>
            <w:webHidden/>
          </w:rPr>
          <w:fldChar w:fldCharType="separate"/>
        </w:r>
        <w:r w:rsidR="009013A2">
          <w:rPr>
            <w:noProof/>
            <w:webHidden/>
          </w:rPr>
          <w:t>54</w:t>
        </w:r>
        <w:r w:rsidR="009013A2">
          <w:rPr>
            <w:noProof/>
            <w:webHidden/>
          </w:rPr>
          <w:fldChar w:fldCharType="end"/>
        </w:r>
      </w:hyperlink>
    </w:p>
    <w:p w:rsidR="009013A2" w:rsidRDefault="00C93591">
      <w:pPr>
        <w:pStyle w:val="TOC1"/>
        <w:rPr>
          <w:rFonts w:asciiTheme="minorHAnsi" w:eastAsiaTheme="minorEastAsia" w:hAnsiTheme="minorHAnsi" w:cstheme="minorBidi"/>
          <w:noProof/>
          <w:sz w:val="22"/>
          <w:lang w:eastAsia="en-GB"/>
        </w:rPr>
      </w:pPr>
      <w:hyperlink w:anchor="_Toc380763575" w:history="1">
        <w:r w:rsidR="009013A2" w:rsidRPr="005C7107">
          <w:rPr>
            <w:rStyle w:val="Hyperlink"/>
            <w:rFonts w:cs="Arial"/>
            <w:noProof/>
          </w:rPr>
          <w:t>Chapter 6:  Resource Efficiency and Materials</w:t>
        </w:r>
        <w:r w:rsidR="009013A2">
          <w:rPr>
            <w:noProof/>
            <w:webHidden/>
          </w:rPr>
          <w:tab/>
        </w:r>
        <w:r w:rsidR="009013A2">
          <w:rPr>
            <w:noProof/>
            <w:webHidden/>
          </w:rPr>
          <w:fldChar w:fldCharType="begin"/>
        </w:r>
        <w:r w:rsidR="009013A2">
          <w:rPr>
            <w:noProof/>
            <w:webHidden/>
          </w:rPr>
          <w:instrText xml:space="preserve"> PAGEREF _Toc380763575 \h </w:instrText>
        </w:r>
        <w:r w:rsidR="009013A2">
          <w:rPr>
            <w:noProof/>
            <w:webHidden/>
          </w:rPr>
        </w:r>
        <w:r w:rsidR="009013A2">
          <w:rPr>
            <w:noProof/>
            <w:webHidden/>
          </w:rPr>
          <w:fldChar w:fldCharType="separate"/>
        </w:r>
        <w:r w:rsidR="009013A2">
          <w:rPr>
            <w:noProof/>
            <w:webHidden/>
          </w:rPr>
          <w:t>55</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76" w:history="1">
        <w:r w:rsidR="009013A2" w:rsidRPr="005C7107">
          <w:rPr>
            <w:rStyle w:val="Hyperlink"/>
            <w:rFonts w:cs="Arial"/>
            <w:noProof/>
          </w:rPr>
          <w:t>Why this matters to business</w:t>
        </w:r>
        <w:r w:rsidR="009013A2">
          <w:rPr>
            <w:noProof/>
            <w:webHidden/>
          </w:rPr>
          <w:tab/>
        </w:r>
        <w:r w:rsidR="009013A2">
          <w:rPr>
            <w:noProof/>
            <w:webHidden/>
          </w:rPr>
          <w:fldChar w:fldCharType="begin"/>
        </w:r>
        <w:r w:rsidR="009013A2">
          <w:rPr>
            <w:noProof/>
            <w:webHidden/>
          </w:rPr>
          <w:instrText xml:space="preserve"> PAGEREF _Toc380763576 \h </w:instrText>
        </w:r>
        <w:r w:rsidR="009013A2">
          <w:rPr>
            <w:noProof/>
            <w:webHidden/>
          </w:rPr>
        </w:r>
        <w:r w:rsidR="009013A2">
          <w:rPr>
            <w:noProof/>
            <w:webHidden/>
          </w:rPr>
          <w:fldChar w:fldCharType="separate"/>
        </w:r>
        <w:r w:rsidR="009013A2">
          <w:rPr>
            <w:noProof/>
            <w:webHidden/>
          </w:rPr>
          <w:t>55</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77" w:history="1">
        <w:r w:rsidR="009013A2" w:rsidRPr="005C7107">
          <w:rPr>
            <w:rStyle w:val="Hyperlink"/>
            <w:noProof/>
          </w:rPr>
          <w:t>What to measure and what to report</w:t>
        </w:r>
        <w:r w:rsidR="009013A2">
          <w:rPr>
            <w:noProof/>
            <w:webHidden/>
          </w:rPr>
          <w:tab/>
        </w:r>
        <w:r w:rsidR="009013A2">
          <w:rPr>
            <w:noProof/>
            <w:webHidden/>
          </w:rPr>
          <w:fldChar w:fldCharType="begin"/>
        </w:r>
        <w:r w:rsidR="009013A2">
          <w:rPr>
            <w:noProof/>
            <w:webHidden/>
          </w:rPr>
          <w:instrText xml:space="preserve"> PAGEREF _Toc380763577 \h </w:instrText>
        </w:r>
        <w:r w:rsidR="009013A2">
          <w:rPr>
            <w:noProof/>
            <w:webHidden/>
          </w:rPr>
        </w:r>
        <w:r w:rsidR="009013A2">
          <w:rPr>
            <w:noProof/>
            <w:webHidden/>
          </w:rPr>
          <w:fldChar w:fldCharType="separate"/>
        </w:r>
        <w:r w:rsidR="009013A2">
          <w:rPr>
            <w:noProof/>
            <w:webHidden/>
          </w:rPr>
          <w:t>57</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78" w:history="1">
        <w:r w:rsidR="009013A2" w:rsidRPr="005C7107">
          <w:rPr>
            <w:rStyle w:val="Hyperlink"/>
            <w:rFonts w:cs="Arial"/>
            <w:noProof/>
          </w:rPr>
          <w:t>Normalisation factors</w:t>
        </w:r>
        <w:r w:rsidR="009013A2">
          <w:rPr>
            <w:noProof/>
            <w:webHidden/>
          </w:rPr>
          <w:tab/>
        </w:r>
        <w:r w:rsidR="009013A2">
          <w:rPr>
            <w:noProof/>
            <w:webHidden/>
          </w:rPr>
          <w:fldChar w:fldCharType="begin"/>
        </w:r>
        <w:r w:rsidR="009013A2">
          <w:rPr>
            <w:noProof/>
            <w:webHidden/>
          </w:rPr>
          <w:instrText xml:space="preserve"> PAGEREF _Toc380763578 \h </w:instrText>
        </w:r>
        <w:r w:rsidR="009013A2">
          <w:rPr>
            <w:noProof/>
            <w:webHidden/>
          </w:rPr>
        </w:r>
        <w:r w:rsidR="009013A2">
          <w:rPr>
            <w:noProof/>
            <w:webHidden/>
          </w:rPr>
          <w:fldChar w:fldCharType="separate"/>
        </w:r>
        <w:r w:rsidR="009013A2">
          <w:rPr>
            <w:noProof/>
            <w:webHidden/>
          </w:rPr>
          <w:t>60</w:t>
        </w:r>
        <w:r w:rsidR="009013A2">
          <w:rPr>
            <w:noProof/>
            <w:webHidden/>
          </w:rPr>
          <w:fldChar w:fldCharType="end"/>
        </w:r>
      </w:hyperlink>
    </w:p>
    <w:p w:rsidR="009013A2" w:rsidRDefault="00C93591">
      <w:pPr>
        <w:pStyle w:val="TOC1"/>
        <w:rPr>
          <w:rFonts w:asciiTheme="minorHAnsi" w:eastAsiaTheme="minorEastAsia" w:hAnsiTheme="minorHAnsi" w:cstheme="minorBidi"/>
          <w:noProof/>
          <w:sz w:val="22"/>
          <w:lang w:eastAsia="en-GB"/>
        </w:rPr>
      </w:pPr>
      <w:hyperlink w:anchor="_Toc380763579" w:history="1">
        <w:r w:rsidR="009013A2" w:rsidRPr="005C7107">
          <w:rPr>
            <w:rStyle w:val="Hyperlink"/>
            <w:rFonts w:cs="Arial"/>
            <w:noProof/>
          </w:rPr>
          <w:t>Chapter 7:  Emissions to Air, Land and Water</w:t>
        </w:r>
        <w:r w:rsidR="009013A2">
          <w:rPr>
            <w:noProof/>
            <w:webHidden/>
          </w:rPr>
          <w:tab/>
        </w:r>
        <w:r w:rsidR="009013A2">
          <w:rPr>
            <w:noProof/>
            <w:webHidden/>
          </w:rPr>
          <w:fldChar w:fldCharType="begin"/>
        </w:r>
        <w:r w:rsidR="009013A2">
          <w:rPr>
            <w:noProof/>
            <w:webHidden/>
          </w:rPr>
          <w:instrText xml:space="preserve"> PAGEREF _Toc380763579 \h </w:instrText>
        </w:r>
        <w:r w:rsidR="009013A2">
          <w:rPr>
            <w:noProof/>
            <w:webHidden/>
          </w:rPr>
        </w:r>
        <w:r w:rsidR="009013A2">
          <w:rPr>
            <w:noProof/>
            <w:webHidden/>
          </w:rPr>
          <w:fldChar w:fldCharType="separate"/>
        </w:r>
        <w:r w:rsidR="009013A2">
          <w:rPr>
            <w:noProof/>
            <w:webHidden/>
          </w:rPr>
          <w:t>61</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80" w:history="1">
        <w:r w:rsidR="009013A2" w:rsidRPr="005C7107">
          <w:rPr>
            <w:rStyle w:val="Hyperlink"/>
            <w:rFonts w:cs="Arial"/>
            <w:noProof/>
          </w:rPr>
          <w:t>Why this matters to business</w:t>
        </w:r>
        <w:r w:rsidR="009013A2">
          <w:rPr>
            <w:noProof/>
            <w:webHidden/>
          </w:rPr>
          <w:tab/>
        </w:r>
        <w:r w:rsidR="009013A2">
          <w:rPr>
            <w:noProof/>
            <w:webHidden/>
          </w:rPr>
          <w:fldChar w:fldCharType="begin"/>
        </w:r>
        <w:r w:rsidR="009013A2">
          <w:rPr>
            <w:noProof/>
            <w:webHidden/>
          </w:rPr>
          <w:instrText xml:space="preserve"> PAGEREF _Toc380763580 \h </w:instrText>
        </w:r>
        <w:r w:rsidR="009013A2">
          <w:rPr>
            <w:noProof/>
            <w:webHidden/>
          </w:rPr>
        </w:r>
        <w:r w:rsidR="009013A2">
          <w:rPr>
            <w:noProof/>
            <w:webHidden/>
          </w:rPr>
          <w:fldChar w:fldCharType="separate"/>
        </w:r>
        <w:r w:rsidR="009013A2">
          <w:rPr>
            <w:noProof/>
            <w:webHidden/>
          </w:rPr>
          <w:t>61</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81" w:history="1">
        <w:r w:rsidR="009013A2" w:rsidRPr="005C7107">
          <w:rPr>
            <w:rStyle w:val="Hyperlink"/>
            <w:rFonts w:cs="Arial"/>
            <w:noProof/>
          </w:rPr>
          <w:t>What to measure and report</w:t>
        </w:r>
        <w:r w:rsidR="009013A2">
          <w:rPr>
            <w:noProof/>
            <w:webHidden/>
          </w:rPr>
          <w:tab/>
        </w:r>
        <w:r w:rsidR="009013A2">
          <w:rPr>
            <w:noProof/>
            <w:webHidden/>
          </w:rPr>
          <w:fldChar w:fldCharType="begin"/>
        </w:r>
        <w:r w:rsidR="009013A2">
          <w:rPr>
            <w:noProof/>
            <w:webHidden/>
          </w:rPr>
          <w:instrText xml:space="preserve"> PAGEREF _Toc380763581 \h </w:instrText>
        </w:r>
        <w:r w:rsidR="009013A2">
          <w:rPr>
            <w:noProof/>
            <w:webHidden/>
          </w:rPr>
        </w:r>
        <w:r w:rsidR="009013A2">
          <w:rPr>
            <w:noProof/>
            <w:webHidden/>
          </w:rPr>
          <w:fldChar w:fldCharType="separate"/>
        </w:r>
        <w:r w:rsidR="009013A2">
          <w:rPr>
            <w:noProof/>
            <w:webHidden/>
          </w:rPr>
          <w:t>62</w:t>
        </w:r>
        <w:r w:rsidR="009013A2">
          <w:rPr>
            <w:noProof/>
            <w:webHidden/>
          </w:rPr>
          <w:fldChar w:fldCharType="end"/>
        </w:r>
      </w:hyperlink>
    </w:p>
    <w:p w:rsidR="009013A2" w:rsidRDefault="00C93591">
      <w:pPr>
        <w:pStyle w:val="TOC1"/>
        <w:rPr>
          <w:rFonts w:asciiTheme="minorHAnsi" w:eastAsiaTheme="minorEastAsia" w:hAnsiTheme="minorHAnsi" w:cstheme="minorBidi"/>
          <w:noProof/>
          <w:sz w:val="22"/>
          <w:lang w:eastAsia="en-GB"/>
        </w:rPr>
      </w:pPr>
      <w:hyperlink w:anchor="_Toc380763582" w:history="1">
        <w:r w:rsidR="009013A2" w:rsidRPr="005C7107">
          <w:rPr>
            <w:rStyle w:val="Hyperlink"/>
            <w:rFonts w:cs="Arial"/>
            <w:noProof/>
          </w:rPr>
          <w:t>Chapter 8:  Biodiversity and Ecosystem Services</w:t>
        </w:r>
        <w:r w:rsidR="009013A2">
          <w:rPr>
            <w:noProof/>
            <w:webHidden/>
          </w:rPr>
          <w:tab/>
        </w:r>
        <w:r w:rsidR="009013A2">
          <w:rPr>
            <w:noProof/>
            <w:webHidden/>
          </w:rPr>
          <w:fldChar w:fldCharType="begin"/>
        </w:r>
        <w:r w:rsidR="009013A2">
          <w:rPr>
            <w:noProof/>
            <w:webHidden/>
          </w:rPr>
          <w:instrText xml:space="preserve"> PAGEREF _Toc380763582 \h </w:instrText>
        </w:r>
        <w:r w:rsidR="009013A2">
          <w:rPr>
            <w:noProof/>
            <w:webHidden/>
          </w:rPr>
        </w:r>
        <w:r w:rsidR="009013A2">
          <w:rPr>
            <w:noProof/>
            <w:webHidden/>
          </w:rPr>
          <w:fldChar w:fldCharType="separate"/>
        </w:r>
        <w:r w:rsidR="009013A2">
          <w:rPr>
            <w:noProof/>
            <w:webHidden/>
          </w:rPr>
          <w:t>66</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83" w:history="1">
        <w:r w:rsidR="009013A2" w:rsidRPr="005C7107">
          <w:rPr>
            <w:rStyle w:val="Hyperlink"/>
            <w:rFonts w:cs="Arial"/>
            <w:noProof/>
          </w:rPr>
          <w:t>Why should this matter to business</w:t>
        </w:r>
        <w:r w:rsidR="009013A2">
          <w:rPr>
            <w:noProof/>
            <w:webHidden/>
          </w:rPr>
          <w:tab/>
        </w:r>
        <w:r w:rsidR="009013A2">
          <w:rPr>
            <w:noProof/>
            <w:webHidden/>
          </w:rPr>
          <w:fldChar w:fldCharType="begin"/>
        </w:r>
        <w:r w:rsidR="009013A2">
          <w:rPr>
            <w:noProof/>
            <w:webHidden/>
          </w:rPr>
          <w:instrText xml:space="preserve"> PAGEREF _Toc380763583 \h </w:instrText>
        </w:r>
        <w:r w:rsidR="009013A2">
          <w:rPr>
            <w:noProof/>
            <w:webHidden/>
          </w:rPr>
        </w:r>
        <w:r w:rsidR="009013A2">
          <w:rPr>
            <w:noProof/>
            <w:webHidden/>
          </w:rPr>
          <w:fldChar w:fldCharType="separate"/>
        </w:r>
        <w:r w:rsidR="009013A2">
          <w:rPr>
            <w:noProof/>
            <w:webHidden/>
          </w:rPr>
          <w:t>66</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84" w:history="1">
        <w:r w:rsidR="009013A2" w:rsidRPr="005C7107">
          <w:rPr>
            <w:rStyle w:val="Hyperlink"/>
            <w:rFonts w:cs="Arial"/>
            <w:noProof/>
          </w:rPr>
          <w:t>What to measure and report</w:t>
        </w:r>
        <w:r w:rsidR="009013A2">
          <w:rPr>
            <w:noProof/>
            <w:webHidden/>
          </w:rPr>
          <w:tab/>
        </w:r>
        <w:r w:rsidR="009013A2">
          <w:rPr>
            <w:noProof/>
            <w:webHidden/>
          </w:rPr>
          <w:fldChar w:fldCharType="begin"/>
        </w:r>
        <w:r w:rsidR="009013A2">
          <w:rPr>
            <w:noProof/>
            <w:webHidden/>
          </w:rPr>
          <w:instrText xml:space="preserve"> PAGEREF _Toc380763584 \h </w:instrText>
        </w:r>
        <w:r w:rsidR="009013A2">
          <w:rPr>
            <w:noProof/>
            <w:webHidden/>
          </w:rPr>
        </w:r>
        <w:r w:rsidR="009013A2">
          <w:rPr>
            <w:noProof/>
            <w:webHidden/>
          </w:rPr>
          <w:fldChar w:fldCharType="separate"/>
        </w:r>
        <w:r w:rsidR="009013A2">
          <w:rPr>
            <w:noProof/>
            <w:webHidden/>
          </w:rPr>
          <w:t>68</w:t>
        </w:r>
        <w:r w:rsidR="009013A2">
          <w:rPr>
            <w:noProof/>
            <w:webHidden/>
          </w:rPr>
          <w:fldChar w:fldCharType="end"/>
        </w:r>
      </w:hyperlink>
    </w:p>
    <w:p w:rsidR="009013A2" w:rsidRDefault="00C93591">
      <w:pPr>
        <w:pStyle w:val="TOC1"/>
        <w:rPr>
          <w:rFonts w:asciiTheme="minorHAnsi" w:eastAsiaTheme="minorEastAsia" w:hAnsiTheme="minorHAnsi" w:cstheme="minorBidi"/>
          <w:noProof/>
          <w:sz w:val="22"/>
          <w:lang w:eastAsia="en-GB"/>
        </w:rPr>
      </w:pPr>
      <w:hyperlink w:anchor="_Toc380763585" w:history="1">
        <w:r w:rsidR="009013A2" w:rsidRPr="005C7107">
          <w:rPr>
            <w:rStyle w:val="Hyperlink"/>
            <w:noProof/>
          </w:rPr>
          <w:t>Annexes</w:t>
        </w:r>
        <w:r w:rsidR="009013A2">
          <w:rPr>
            <w:noProof/>
            <w:webHidden/>
          </w:rPr>
          <w:tab/>
        </w:r>
        <w:r w:rsidR="009013A2">
          <w:rPr>
            <w:noProof/>
            <w:webHidden/>
          </w:rPr>
          <w:fldChar w:fldCharType="begin"/>
        </w:r>
        <w:r w:rsidR="009013A2">
          <w:rPr>
            <w:noProof/>
            <w:webHidden/>
          </w:rPr>
          <w:instrText xml:space="preserve"> PAGEREF _Toc380763585 \h </w:instrText>
        </w:r>
        <w:r w:rsidR="009013A2">
          <w:rPr>
            <w:noProof/>
            <w:webHidden/>
          </w:rPr>
        </w:r>
        <w:r w:rsidR="009013A2">
          <w:rPr>
            <w:noProof/>
            <w:webHidden/>
          </w:rPr>
          <w:fldChar w:fldCharType="separate"/>
        </w:r>
        <w:r w:rsidR="009013A2">
          <w:rPr>
            <w:noProof/>
            <w:webHidden/>
          </w:rPr>
          <w:t>72</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86" w:history="1">
        <w:r w:rsidR="009013A2" w:rsidRPr="005C7107">
          <w:rPr>
            <w:rStyle w:val="Hyperlink"/>
            <w:noProof/>
          </w:rPr>
          <w:t>Annex A: Organisational boundary</w:t>
        </w:r>
        <w:r w:rsidR="009013A2">
          <w:rPr>
            <w:noProof/>
            <w:webHidden/>
          </w:rPr>
          <w:tab/>
        </w:r>
        <w:r w:rsidR="009013A2">
          <w:rPr>
            <w:noProof/>
            <w:webHidden/>
          </w:rPr>
          <w:fldChar w:fldCharType="begin"/>
        </w:r>
        <w:r w:rsidR="009013A2">
          <w:rPr>
            <w:noProof/>
            <w:webHidden/>
          </w:rPr>
          <w:instrText xml:space="preserve"> PAGEREF _Toc380763586 \h </w:instrText>
        </w:r>
        <w:r w:rsidR="009013A2">
          <w:rPr>
            <w:noProof/>
            <w:webHidden/>
          </w:rPr>
        </w:r>
        <w:r w:rsidR="009013A2">
          <w:rPr>
            <w:noProof/>
            <w:webHidden/>
          </w:rPr>
          <w:fldChar w:fldCharType="separate"/>
        </w:r>
        <w:r w:rsidR="009013A2">
          <w:rPr>
            <w:noProof/>
            <w:webHidden/>
          </w:rPr>
          <w:t>72</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87" w:history="1">
        <w:r w:rsidR="009013A2" w:rsidRPr="005C7107">
          <w:rPr>
            <w:rStyle w:val="Hyperlink"/>
            <w:noProof/>
          </w:rPr>
          <w:t>Annex B: Process Emissions</w:t>
        </w:r>
        <w:r w:rsidR="009013A2">
          <w:rPr>
            <w:noProof/>
            <w:webHidden/>
          </w:rPr>
          <w:tab/>
        </w:r>
        <w:r w:rsidR="009013A2">
          <w:rPr>
            <w:noProof/>
            <w:webHidden/>
          </w:rPr>
          <w:fldChar w:fldCharType="begin"/>
        </w:r>
        <w:r w:rsidR="009013A2">
          <w:rPr>
            <w:noProof/>
            <w:webHidden/>
          </w:rPr>
          <w:instrText xml:space="preserve"> PAGEREF _Toc380763587 \h </w:instrText>
        </w:r>
        <w:r w:rsidR="009013A2">
          <w:rPr>
            <w:noProof/>
            <w:webHidden/>
          </w:rPr>
        </w:r>
        <w:r w:rsidR="009013A2">
          <w:rPr>
            <w:noProof/>
            <w:webHidden/>
          </w:rPr>
          <w:fldChar w:fldCharType="separate"/>
        </w:r>
        <w:r w:rsidR="009013A2">
          <w:rPr>
            <w:noProof/>
            <w:webHidden/>
          </w:rPr>
          <w:t>77</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88" w:history="1">
        <w:r w:rsidR="009013A2" w:rsidRPr="005C7107">
          <w:rPr>
            <w:rStyle w:val="Hyperlink"/>
            <w:noProof/>
          </w:rPr>
          <w:t>Annex C: GHG Emissions from Use of Refrigeration, Air Conditioning Equipment and Heat Pumps</w:t>
        </w:r>
        <w:r w:rsidR="009013A2">
          <w:rPr>
            <w:noProof/>
            <w:webHidden/>
          </w:rPr>
          <w:tab/>
        </w:r>
        <w:r w:rsidR="009013A2">
          <w:rPr>
            <w:noProof/>
            <w:webHidden/>
          </w:rPr>
          <w:fldChar w:fldCharType="begin"/>
        </w:r>
        <w:r w:rsidR="009013A2">
          <w:rPr>
            <w:noProof/>
            <w:webHidden/>
          </w:rPr>
          <w:instrText xml:space="preserve"> PAGEREF _Toc380763588 \h </w:instrText>
        </w:r>
        <w:r w:rsidR="009013A2">
          <w:rPr>
            <w:noProof/>
            <w:webHidden/>
          </w:rPr>
        </w:r>
        <w:r w:rsidR="009013A2">
          <w:rPr>
            <w:noProof/>
            <w:webHidden/>
          </w:rPr>
          <w:fldChar w:fldCharType="separate"/>
        </w:r>
        <w:r w:rsidR="009013A2">
          <w:rPr>
            <w:noProof/>
            <w:webHidden/>
          </w:rPr>
          <w:t>79</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89" w:history="1">
        <w:r w:rsidR="009013A2" w:rsidRPr="005C7107">
          <w:rPr>
            <w:rStyle w:val="Hyperlink"/>
            <w:noProof/>
          </w:rPr>
          <w:t>Annex D: Heat, steam and CHP</w:t>
        </w:r>
        <w:r w:rsidR="009013A2">
          <w:rPr>
            <w:noProof/>
            <w:webHidden/>
          </w:rPr>
          <w:tab/>
        </w:r>
        <w:r w:rsidR="009013A2">
          <w:rPr>
            <w:noProof/>
            <w:webHidden/>
          </w:rPr>
          <w:fldChar w:fldCharType="begin"/>
        </w:r>
        <w:r w:rsidR="009013A2">
          <w:rPr>
            <w:noProof/>
            <w:webHidden/>
          </w:rPr>
          <w:instrText xml:space="preserve"> PAGEREF _Toc380763589 \h </w:instrText>
        </w:r>
        <w:r w:rsidR="009013A2">
          <w:rPr>
            <w:noProof/>
            <w:webHidden/>
          </w:rPr>
        </w:r>
        <w:r w:rsidR="009013A2">
          <w:rPr>
            <w:noProof/>
            <w:webHidden/>
          </w:rPr>
          <w:fldChar w:fldCharType="separate"/>
        </w:r>
        <w:r w:rsidR="009013A2">
          <w:rPr>
            <w:noProof/>
            <w:webHidden/>
          </w:rPr>
          <w:t>87</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90" w:history="1">
        <w:r w:rsidR="009013A2" w:rsidRPr="005C7107">
          <w:rPr>
            <w:rStyle w:val="Hyperlink"/>
            <w:noProof/>
          </w:rPr>
          <w:t>Annex E: Supply chain emissions</w:t>
        </w:r>
        <w:r w:rsidR="009013A2">
          <w:rPr>
            <w:noProof/>
            <w:webHidden/>
          </w:rPr>
          <w:tab/>
        </w:r>
        <w:r w:rsidR="009013A2">
          <w:rPr>
            <w:noProof/>
            <w:webHidden/>
          </w:rPr>
          <w:fldChar w:fldCharType="begin"/>
        </w:r>
        <w:r w:rsidR="009013A2">
          <w:rPr>
            <w:noProof/>
            <w:webHidden/>
          </w:rPr>
          <w:instrText xml:space="preserve"> PAGEREF _Toc380763590 \h </w:instrText>
        </w:r>
        <w:r w:rsidR="009013A2">
          <w:rPr>
            <w:noProof/>
            <w:webHidden/>
          </w:rPr>
        </w:r>
        <w:r w:rsidR="009013A2">
          <w:rPr>
            <w:noProof/>
            <w:webHidden/>
          </w:rPr>
          <w:fldChar w:fldCharType="separate"/>
        </w:r>
        <w:r w:rsidR="009013A2">
          <w:rPr>
            <w:noProof/>
            <w:webHidden/>
          </w:rPr>
          <w:t>89</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91" w:history="1">
        <w:r w:rsidR="009013A2" w:rsidRPr="005C7107">
          <w:rPr>
            <w:rStyle w:val="Hyperlink"/>
            <w:noProof/>
          </w:rPr>
          <w:t>Annex F: Intensity ratios</w:t>
        </w:r>
        <w:r w:rsidR="009013A2">
          <w:rPr>
            <w:noProof/>
            <w:webHidden/>
          </w:rPr>
          <w:tab/>
        </w:r>
        <w:r w:rsidR="009013A2">
          <w:rPr>
            <w:noProof/>
            <w:webHidden/>
          </w:rPr>
          <w:fldChar w:fldCharType="begin"/>
        </w:r>
        <w:r w:rsidR="009013A2">
          <w:rPr>
            <w:noProof/>
            <w:webHidden/>
          </w:rPr>
          <w:instrText xml:space="preserve"> PAGEREF _Toc380763591 \h </w:instrText>
        </w:r>
        <w:r w:rsidR="009013A2">
          <w:rPr>
            <w:noProof/>
            <w:webHidden/>
          </w:rPr>
        </w:r>
        <w:r w:rsidR="009013A2">
          <w:rPr>
            <w:noProof/>
            <w:webHidden/>
          </w:rPr>
          <w:fldChar w:fldCharType="separate"/>
        </w:r>
        <w:r w:rsidR="009013A2">
          <w:rPr>
            <w:noProof/>
            <w:webHidden/>
          </w:rPr>
          <w:t>98</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92" w:history="1">
        <w:r w:rsidR="009013A2" w:rsidRPr="005C7107">
          <w:rPr>
            <w:rStyle w:val="Hyperlink"/>
            <w:noProof/>
          </w:rPr>
          <w:t>Annex G: Emission reduction actions</w:t>
        </w:r>
        <w:r w:rsidR="009013A2">
          <w:rPr>
            <w:noProof/>
            <w:webHidden/>
          </w:rPr>
          <w:tab/>
        </w:r>
        <w:r w:rsidR="009013A2">
          <w:rPr>
            <w:noProof/>
            <w:webHidden/>
          </w:rPr>
          <w:fldChar w:fldCharType="begin"/>
        </w:r>
        <w:r w:rsidR="009013A2">
          <w:rPr>
            <w:noProof/>
            <w:webHidden/>
          </w:rPr>
          <w:instrText xml:space="preserve"> PAGEREF _Toc380763592 \h </w:instrText>
        </w:r>
        <w:r w:rsidR="009013A2">
          <w:rPr>
            <w:noProof/>
            <w:webHidden/>
          </w:rPr>
        </w:r>
        <w:r w:rsidR="009013A2">
          <w:rPr>
            <w:noProof/>
            <w:webHidden/>
          </w:rPr>
          <w:fldChar w:fldCharType="separate"/>
        </w:r>
        <w:r w:rsidR="009013A2">
          <w:rPr>
            <w:noProof/>
            <w:webHidden/>
          </w:rPr>
          <w:t>99</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93" w:history="1">
        <w:r w:rsidR="009013A2" w:rsidRPr="005C7107">
          <w:rPr>
            <w:rStyle w:val="Hyperlink"/>
            <w:noProof/>
          </w:rPr>
          <w:t>Annex H: Example reporting format</w:t>
        </w:r>
        <w:r w:rsidR="009013A2">
          <w:rPr>
            <w:noProof/>
            <w:webHidden/>
          </w:rPr>
          <w:tab/>
        </w:r>
        <w:r w:rsidR="009013A2">
          <w:rPr>
            <w:noProof/>
            <w:webHidden/>
          </w:rPr>
          <w:fldChar w:fldCharType="begin"/>
        </w:r>
        <w:r w:rsidR="009013A2">
          <w:rPr>
            <w:noProof/>
            <w:webHidden/>
          </w:rPr>
          <w:instrText xml:space="preserve"> PAGEREF _Toc380763593 \h </w:instrText>
        </w:r>
        <w:r w:rsidR="009013A2">
          <w:rPr>
            <w:noProof/>
            <w:webHidden/>
          </w:rPr>
        </w:r>
        <w:r w:rsidR="009013A2">
          <w:rPr>
            <w:noProof/>
            <w:webHidden/>
          </w:rPr>
          <w:fldChar w:fldCharType="separate"/>
        </w:r>
        <w:r w:rsidR="009013A2">
          <w:rPr>
            <w:noProof/>
            <w:webHidden/>
          </w:rPr>
          <w:t>105</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94" w:history="1">
        <w:r w:rsidR="009013A2" w:rsidRPr="005C7107">
          <w:rPr>
            <w:rStyle w:val="Hyperlink"/>
            <w:noProof/>
            <w:lang w:eastAsia="en-GB"/>
          </w:rPr>
          <w:t>Annex I: Water</w:t>
        </w:r>
        <w:r w:rsidR="009013A2">
          <w:rPr>
            <w:noProof/>
            <w:webHidden/>
          </w:rPr>
          <w:tab/>
        </w:r>
        <w:r w:rsidR="009013A2">
          <w:rPr>
            <w:noProof/>
            <w:webHidden/>
          </w:rPr>
          <w:fldChar w:fldCharType="begin"/>
        </w:r>
        <w:r w:rsidR="009013A2">
          <w:rPr>
            <w:noProof/>
            <w:webHidden/>
          </w:rPr>
          <w:instrText xml:space="preserve"> PAGEREF _Toc380763594 \h </w:instrText>
        </w:r>
        <w:r w:rsidR="009013A2">
          <w:rPr>
            <w:noProof/>
            <w:webHidden/>
          </w:rPr>
        </w:r>
        <w:r w:rsidR="009013A2">
          <w:rPr>
            <w:noProof/>
            <w:webHidden/>
          </w:rPr>
          <w:fldChar w:fldCharType="separate"/>
        </w:r>
        <w:r w:rsidR="009013A2">
          <w:rPr>
            <w:noProof/>
            <w:webHidden/>
          </w:rPr>
          <w:t>115</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95" w:history="1">
        <w:r w:rsidR="009013A2" w:rsidRPr="005C7107">
          <w:rPr>
            <w:rStyle w:val="Hyperlink"/>
            <w:noProof/>
          </w:rPr>
          <w:t>Annex J: Waste</w:t>
        </w:r>
        <w:r w:rsidR="009013A2">
          <w:rPr>
            <w:noProof/>
            <w:webHidden/>
          </w:rPr>
          <w:tab/>
        </w:r>
        <w:r w:rsidR="009013A2">
          <w:rPr>
            <w:noProof/>
            <w:webHidden/>
          </w:rPr>
          <w:fldChar w:fldCharType="begin"/>
        </w:r>
        <w:r w:rsidR="009013A2">
          <w:rPr>
            <w:noProof/>
            <w:webHidden/>
          </w:rPr>
          <w:instrText xml:space="preserve"> PAGEREF _Toc380763595 \h </w:instrText>
        </w:r>
        <w:r w:rsidR="009013A2">
          <w:rPr>
            <w:noProof/>
            <w:webHidden/>
          </w:rPr>
        </w:r>
        <w:r w:rsidR="009013A2">
          <w:rPr>
            <w:noProof/>
            <w:webHidden/>
          </w:rPr>
          <w:fldChar w:fldCharType="separate"/>
        </w:r>
        <w:r w:rsidR="009013A2">
          <w:rPr>
            <w:noProof/>
            <w:webHidden/>
          </w:rPr>
          <w:t>120</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96" w:history="1">
        <w:r w:rsidR="009013A2" w:rsidRPr="005C7107">
          <w:rPr>
            <w:rStyle w:val="Hyperlink"/>
            <w:noProof/>
            <w:lang w:eastAsia="en-GB"/>
          </w:rPr>
          <w:t>Annex K: Resource efficiency and materials</w:t>
        </w:r>
        <w:r w:rsidR="009013A2">
          <w:rPr>
            <w:noProof/>
            <w:webHidden/>
          </w:rPr>
          <w:tab/>
        </w:r>
        <w:r w:rsidR="009013A2">
          <w:rPr>
            <w:noProof/>
            <w:webHidden/>
          </w:rPr>
          <w:fldChar w:fldCharType="begin"/>
        </w:r>
        <w:r w:rsidR="009013A2">
          <w:rPr>
            <w:noProof/>
            <w:webHidden/>
          </w:rPr>
          <w:instrText xml:space="preserve"> PAGEREF _Toc380763596 \h </w:instrText>
        </w:r>
        <w:r w:rsidR="009013A2">
          <w:rPr>
            <w:noProof/>
            <w:webHidden/>
          </w:rPr>
        </w:r>
        <w:r w:rsidR="009013A2">
          <w:rPr>
            <w:noProof/>
            <w:webHidden/>
          </w:rPr>
          <w:fldChar w:fldCharType="separate"/>
        </w:r>
        <w:r w:rsidR="009013A2">
          <w:rPr>
            <w:noProof/>
            <w:webHidden/>
          </w:rPr>
          <w:t>124</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97" w:history="1">
        <w:r w:rsidR="009013A2" w:rsidRPr="005C7107">
          <w:rPr>
            <w:rStyle w:val="Hyperlink"/>
            <w:noProof/>
          </w:rPr>
          <w:t>Annex L: Emissions to air, land and water</w:t>
        </w:r>
        <w:r w:rsidR="009013A2">
          <w:rPr>
            <w:noProof/>
            <w:webHidden/>
          </w:rPr>
          <w:tab/>
        </w:r>
        <w:r w:rsidR="009013A2">
          <w:rPr>
            <w:noProof/>
            <w:webHidden/>
          </w:rPr>
          <w:fldChar w:fldCharType="begin"/>
        </w:r>
        <w:r w:rsidR="009013A2">
          <w:rPr>
            <w:noProof/>
            <w:webHidden/>
          </w:rPr>
          <w:instrText xml:space="preserve"> PAGEREF _Toc380763597 \h </w:instrText>
        </w:r>
        <w:r w:rsidR="009013A2">
          <w:rPr>
            <w:noProof/>
            <w:webHidden/>
          </w:rPr>
        </w:r>
        <w:r w:rsidR="009013A2">
          <w:rPr>
            <w:noProof/>
            <w:webHidden/>
          </w:rPr>
          <w:fldChar w:fldCharType="separate"/>
        </w:r>
        <w:r w:rsidR="009013A2">
          <w:rPr>
            <w:noProof/>
            <w:webHidden/>
          </w:rPr>
          <w:t>128</w:t>
        </w:r>
        <w:r w:rsidR="009013A2">
          <w:rPr>
            <w:noProof/>
            <w:webHidden/>
          </w:rPr>
          <w:fldChar w:fldCharType="end"/>
        </w:r>
      </w:hyperlink>
    </w:p>
    <w:p w:rsidR="009013A2" w:rsidRDefault="00C93591">
      <w:pPr>
        <w:pStyle w:val="TOC2"/>
        <w:tabs>
          <w:tab w:val="right" w:leader="dot" w:pos="9628"/>
        </w:tabs>
        <w:rPr>
          <w:rFonts w:asciiTheme="minorHAnsi" w:eastAsiaTheme="minorEastAsia" w:hAnsiTheme="minorHAnsi" w:cstheme="minorBidi"/>
          <w:noProof/>
          <w:sz w:val="22"/>
          <w:lang w:eastAsia="en-GB"/>
        </w:rPr>
      </w:pPr>
      <w:hyperlink w:anchor="_Toc380763598" w:history="1">
        <w:r w:rsidR="009013A2" w:rsidRPr="005C7107">
          <w:rPr>
            <w:rStyle w:val="Hyperlink"/>
            <w:noProof/>
          </w:rPr>
          <w:t>Annex M: Biodiversity and ecosystem services</w:t>
        </w:r>
        <w:r w:rsidR="009013A2">
          <w:rPr>
            <w:noProof/>
            <w:webHidden/>
          </w:rPr>
          <w:tab/>
        </w:r>
        <w:r w:rsidR="009013A2">
          <w:rPr>
            <w:noProof/>
            <w:webHidden/>
          </w:rPr>
          <w:fldChar w:fldCharType="begin"/>
        </w:r>
        <w:r w:rsidR="009013A2">
          <w:rPr>
            <w:noProof/>
            <w:webHidden/>
          </w:rPr>
          <w:instrText xml:space="preserve"> PAGEREF _Toc380763598 \h </w:instrText>
        </w:r>
        <w:r w:rsidR="009013A2">
          <w:rPr>
            <w:noProof/>
            <w:webHidden/>
          </w:rPr>
        </w:r>
        <w:r w:rsidR="009013A2">
          <w:rPr>
            <w:noProof/>
            <w:webHidden/>
          </w:rPr>
          <w:fldChar w:fldCharType="separate"/>
        </w:r>
        <w:r w:rsidR="009013A2">
          <w:rPr>
            <w:noProof/>
            <w:webHidden/>
          </w:rPr>
          <w:t>136</w:t>
        </w:r>
        <w:r w:rsidR="009013A2">
          <w:rPr>
            <w:noProof/>
            <w:webHidden/>
          </w:rPr>
          <w:fldChar w:fldCharType="end"/>
        </w:r>
      </w:hyperlink>
    </w:p>
    <w:p w:rsidR="00F175E4" w:rsidRDefault="0089440A">
      <w:r>
        <w:lastRenderedPageBreak/>
        <w:fldChar w:fldCharType="end"/>
      </w:r>
    </w:p>
    <w:p w:rsidR="001E636F" w:rsidRDefault="001E636F"/>
    <w:p w:rsidR="00E33FA1" w:rsidRPr="006A6CE3" w:rsidRDefault="00E33FA1" w:rsidP="00E204D9">
      <w:pPr>
        <w:pStyle w:val="Contents"/>
        <w:rPr>
          <w:rFonts w:cs="Arial"/>
        </w:rPr>
        <w:sectPr w:rsidR="00E33FA1" w:rsidRPr="006A6CE3" w:rsidSect="00E33FA1">
          <w:headerReference w:type="default" r:id="rId17"/>
          <w:footerReference w:type="default" r:id="rId18"/>
          <w:headerReference w:type="first" r:id="rId19"/>
          <w:pgSz w:w="11906" w:h="16838"/>
          <w:pgMar w:top="1134" w:right="1134" w:bottom="1134" w:left="1134" w:header="709" w:footer="709" w:gutter="0"/>
          <w:pgNumType w:start="1"/>
          <w:cols w:space="708"/>
          <w:titlePg/>
          <w:docGrid w:linePitch="360"/>
        </w:sectPr>
      </w:pPr>
    </w:p>
    <w:p w:rsidR="00E33FA1" w:rsidRPr="006A6CE3" w:rsidRDefault="00E33FA1" w:rsidP="00E204D9">
      <w:pPr>
        <w:pStyle w:val="Contents"/>
        <w:rPr>
          <w:rFonts w:cs="Arial"/>
        </w:rPr>
        <w:sectPr w:rsidR="00E33FA1" w:rsidRPr="006A6CE3" w:rsidSect="00E33FA1">
          <w:type w:val="continuous"/>
          <w:pgSz w:w="11906" w:h="16838"/>
          <w:pgMar w:top="1134" w:right="1134" w:bottom="1134" w:left="1134" w:header="709" w:footer="709" w:gutter="0"/>
          <w:cols w:space="708"/>
          <w:titlePg/>
          <w:docGrid w:linePitch="360"/>
        </w:sectPr>
      </w:pPr>
    </w:p>
    <w:p w:rsidR="00103388" w:rsidRDefault="00103388"/>
    <w:p w:rsidR="00103388" w:rsidRPr="006A6CE3" w:rsidRDefault="00103388" w:rsidP="00E204D9">
      <w:pPr>
        <w:outlineLvl w:val="1"/>
        <w:rPr>
          <w:rFonts w:cs="Arial"/>
        </w:rPr>
        <w:sectPr w:rsidR="00103388" w:rsidRPr="006A6CE3" w:rsidSect="00E33FA1">
          <w:type w:val="continuous"/>
          <w:pgSz w:w="11906" w:h="16838"/>
          <w:pgMar w:top="1134" w:right="1134" w:bottom="1134" w:left="1134" w:header="709" w:footer="709" w:gutter="0"/>
          <w:cols w:space="708"/>
          <w:titlePg/>
          <w:docGrid w:linePitch="360"/>
        </w:sectPr>
      </w:pPr>
    </w:p>
    <w:p w:rsidR="00913351" w:rsidRPr="006A6CE3" w:rsidRDefault="00913351" w:rsidP="001D2F48">
      <w:pPr>
        <w:pStyle w:val="Heading1"/>
      </w:pPr>
      <w:bookmarkStart w:id="0" w:name="_Toc358054478"/>
      <w:bookmarkStart w:id="1" w:name="_Toc358054556"/>
      <w:bookmarkStart w:id="2" w:name="_Toc358060194"/>
      <w:bookmarkStart w:id="3" w:name="_Toc358302235"/>
      <w:bookmarkStart w:id="4" w:name="_Toc380763527"/>
      <w:r w:rsidRPr="006A6CE3">
        <w:lastRenderedPageBreak/>
        <w:t>Introduction</w:t>
      </w:r>
      <w:bookmarkEnd w:id="0"/>
      <w:bookmarkEnd w:id="1"/>
      <w:bookmarkEnd w:id="2"/>
      <w:bookmarkEnd w:id="3"/>
      <w:bookmarkEnd w:id="4"/>
    </w:p>
    <w:p w:rsidR="00913351" w:rsidRPr="001D2F48" w:rsidRDefault="00913351" w:rsidP="00BE3068">
      <w:pPr>
        <w:pStyle w:val="Heading2"/>
      </w:pPr>
      <w:bookmarkStart w:id="5" w:name="_Toc358302236"/>
      <w:bookmarkStart w:id="6" w:name="_Toc380763528"/>
      <w:r w:rsidRPr="001D2F48">
        <w:t>Who is this document for?</w:t>
      </w:r>
      <w:bookmarkEnd w:id="5"/>
      <w:bookmarkEnd w:id="6"/>
    </w:p>
    <w:p w:rsidR="00913351" w:rsidRPr="006A6CE3" w:rsidRDefault="00913351" w:rsidP="00E204D9">
      <w:pPr>
        <w:rPr>
          <w:rFonts w:cs="Arial"/>
          <w:szCs w:val="24"/>
        </w:rPr>
      </w:pPr>
      <w:r w:rsidRPr="006A6CE3">
        <w:rPr>
          <w:rFonts w:cs="Arial"/>
        </w:rPr>
        <w:t>This document is designed to help</w:t>
      </w:r>
      <w:r w:rsidRPr="006A6CE3">
        <w:rPr>
          <w:rFonts w:cs="Arial"/>
          <w:szCs w:val="24"/>
        </w:rPr>
        <w:t>:</w:t>
      </w:r>
    </w:p>
    <w:p w:rsidR="00913351" w:rsidRPr="006A6CE3" w:rsidRDefault="00913351" w:rsidP="00C554E0">
      <w:pPr>
        <w:numPr>
          <w:ilvl w:val="0"/>
          <w:numId w:val="72"/>
        </w:numPr>
        <w:rPr>
          <w:rFonts w:cs="Arial"/>
          <w:szCs w:val="24"/>
        </w:rPr>
      </w:pPr>
      <w:r w:rsidRPr="006A6CE3">
        <w:rPr>
          <w:rFonts w:cs="Arial"/>
          <w:szCs w:val="24"/>
        </w:rPr>
        <w:t>companies in complying with the greenhouse gas (GHG) reporting regulation, a requirement from the Climate Change Act 2008; and</w:t>
      </w:r>
    </w:p>
    <w:p w:rsidR="00913351" w:rsidRPr="006A6CE3" w:rsidRDefault="00913351" w:rsidP="00C554E0">
      <w:pPr>
        <w:numPr>
          <w:ilvl w:val="0"/>
          <w:numId w:val="72"/>
        </w:numPr>
        <w:rPr>
          <w:rFonts w:cs="Arial"/>
          <w:szCs w:val="24"/>
        </w:rPr>
      </w:pPr>
      <w:proofErr w:type="gramStart"/>
      <w:r w:rsidRPr="006A6CE3">
        <w:rPr>
          <w:rFonts w:cs="Arial"/>
          <w:szCs w:val="24"/>
        </w:rPr>
        <w:t>all</w:t>
      </w:r>
      <w:proofErr w:type="gramEnd"/>
      <w:r w:rsidRPr="006A6CE3">
        <w:rPr>
          <w:rFonts w:cs="Arial"/>
          <w:szCs w:val="24"/>
        </w:rPr>
        <w:t xml:space="preserve"> organisations with voluntary reporting on a range of environmental matters, including voluntary GHG reporting and through the use of key performance indicators (KPIs).</w:t>
      </w:r>
    </w:p>
    <w:p w:rsidR="00913351" w:rsidRPr="00BE3068" w:rsidRDefault="00913351" w:rsidP="00BE3068">
      <w:pPr>
        <w:pStyle w:val="Heading2"/>
      </w:pPr>
      <w:bookmarkStart w:id="7" w:name="_Toc358302237"/>
      <w:bookmarkStart w:id="8" w:name="_Toc380763529"/>
      <w:r w:rsidRPr="00BE3068">
        <w:t>Benefits of reporting</w:t>
      </w:r>
      <w:bookmarkEnd w:id="7"/>
      <w:bookmarkEnd w:id="8"/>
    </w:p>
    <w:p w:rsidR="00913351" w:rsidRPr="006A6CE3" w:rsidRDefault="00913351" w:rsidP="00E204D9">
      <w:pPr>
        <w:rPr>
          <w:rFonts w:cs="Arial"/>
        </w:rPr>
      </w:pPr>
      <w:r w:rsidRPr="006A6CE3">
        <w:rPr>
          <w:rFonts w:cs="Arial"/>
        </w:rPr>
        <w:t xml:space="preserve">There are direct benefits to your organisation in the measuring and reporting of environmental performance as it will benefit from lower energy and resource </w:t>
      </w:r>
      <w:proofErr w:type="gramStart"/>
      <w:r w:rsidRPr="006A6CE3">
        <w:rPr>
          <w:rFonts w:cs="Arial"/>
        </w:rPr>
        <w:t>costs,</w:t>
      </w:r>
      <w:proofErr w:type="gramEnd"/>
      <w:r w:rsidRPr="006A6CE3">
        <w:rPr>
          <w:rStyle w:val="FootnoteReference"/>
          <w:rFonts w:cs="Arial"/>
        </w:rPr>
        <w:footnoteReference w:id="1"/>
      </w:r>
      <w:r w:rsidRPr="006A6CE3">
        <w:rPr>
          <w:rFonts w:cs="Arial"/>
        </w:rPr>
        <w:t xml:space="preserve"> gain a better understanding of exposure to the risks of climate change and demonstrate leadership, which will help strengthen your green credentials in the marketplace. </w:t>
      </w:r>
      <w:r w:rsidRPr="006A6CE3">
        <w:rPr>
          <w:rFonts w:cs="Arial"/>
          <w:lang w:eastAsia="en-GB"/>
        </w:rPr>
        <w:t>You should find it helpful to use environmental KPIs to capture the link between environmental and financial performance.</w:t>
      </w:r>
    </w:p>
    <w:p w:rsidR="00913351" w:rsidRPr="006A6CE3" w:rsidRDefault="00913351" w:rsidP="00E204D9">
      <w:pPr>
        <w:rPr>
          <w:rFonts w:cs="Arial"/>
          <w:color w:val="1F497D"/>
        </w:rPr>
      </w:pPr>
      <w:r w:rsidRPr="006A6CE3">
        <w:rPr>
          <w:rFonts w:cs="Arial"/>
        </w:rPr>
        <w:t xml:space="preserve">Investors, shareholders and other stakeholders are increasingly requesting better environmental disclosures in annual reports and accounts. The number of organisations that are seeking information from their suppliers on environmental performance is increasing too. Organisations of all sizes are increasingly expected to measure and report on their environmental performance or risk losing out to competitors who do record their environmental performance. A </w:t>
      </w:r>
      <w:hyperlink r:id="rId20" w:anchor="Description" w:history="1">
        <w:r w:rsidRPr="006A6CE3">
          <w:rPr>
            <w:rStyle w:val="Hyperlink"/>
            <w:rFonts w:cs="Arial"/>
          </w:rPr>
          <w:t>Defra sponsored study</w:t>
        </w:r>
      </w:hyperlink>
      <w:r w:rsidRPr="006A6CE3">
        <w:rPr>
          <w:rStyle w:val="FootnoteReference"/>
          <w:rFonts w:cs="Arial"/>
        </w:rPr>
        <w:footnoteReference w:id="2"/>
      </w:r>
      <w:r w:rsidRPr="006A6CE3">
        <w:rPr>
          <w:rFonts w:cs="Arial"/>
        </w:rPr>
        <w:t xml:space="preserve">  </w:t>
      </w:r>
      <w:r w:rsidRPr="006A6CE3">
        <w:rPr>
          <w:rFonts w:cs="Arial"/>
          <w:szCs w:val="24"/>
        </w:rPr>
        <w:t>provided robust evidence that environmental management systems generally delivered cost savings and new business sales for the majority of the study’s</w:t>
      </w:r>
      <w:r w:rsidRPr="006A6CE3">
        <w:rPr>
          <w:rFonts w:cs="Arial"/>
          <w:sz w:val="20"/>
        </w:rPr>
        <w:t xml:space="preserve"> </w:t>
      </w:r>
      <w:r w:rsidRPr="006A6CE3">
        <w:rPr>
          <w:rFonts w:cs="Arial"/>
        </w:rPr>
        <w:t>small and medium sized enterprises</w:t>
      </w:r>
      <w:r w:rsidRPr="006A6CE3">
        <w:rPr>
          <w:rFonts w:cs="Arial"/>
          <w:color w:val="1F497D"/>
        </w:rPr>
        <w:t xml:space="preserve">.  </w:t>
      </w:r>
    </w:p>
    <w:p w:rsidR="00913351" w:rsidRPr="006A6CE3" w:rsidRDefault="00913351" w:rsidP="00E204D9">
      <w:pPr>
        <w:rPr>
          <w:rFonts w:cs="Arial"/>
          <w:lang w:eastAsia="en-GB"/>
        </w:rPr>
      </w:pPr>
      <w:r w:rsidRPr="006A6CE3">
        <w:rPr>
          <w:rFonts w:cs="Arial"/>
          <w:lang w:eastAsia="en-GB"/>
        </w:rPr>
        <w:lastRenderedPageBreak/>
        <w:t xml:space="preserve">Many businesses are finding that their environmental risks are material to their operations and supply chains, or are likely to become so. This may take the form of physical risks from climate change, or business risk from volatile energy and commodity prices. Equally some are finding that early action to address such risks can generate new business opportunities. </w:t>
      </w:r>
    </w:p>
    <w:p w:rsidR="00913351" w:rsidRPr="006A6CE3" w:rsidRDefault="00913351" w:rsidP="00E204D9">
      <w:pPr>
        <w:rPr>
          <w:rFonts w:cs="Arial"/>
          <w:szCs w:val="24"/>
        </w:rPr>
      </w:pPr>
      <w:r w:rsidRPr="006A6CE3">
        <w:rPr>
          <w:rFonts w:cs="Arial"/>
          <w:szCs w:val="24"/>
        </w:rPr>
        <w:t xml:space="preserve">This guidance has links with the work of the </w:t>
      </w:r>
      <w:hyperlink r:id="rId21" w:history="1">
        <w:r w:rsidRPr="006A6CE3">
          <w:rPr>
            <w:rStyle w:val="Hyperlink"/>
            <w:rFonts w:cs="Arial"/>
            <w:szCs w:val="24"/>
          </w:rPr>
          <w:t>Natural Capital Committee</w:t>
        </w:r>
      </w:hyperlink>
      <w:r w:rsidRPr="006A6CE3">
        <w:rPr>
          <w:rFonts w:cs="Arial"/>
          <w:szCs w:val="24"/>
        </w:rPr>
        <w:t xml:space="preserve"> (NCC).  Natural capital refers to the elements of nature that produce value (directly and indirectly) to people, such as the stock of forests, rivers, land, minerals and oceans. It includes both living and non-living aspects of nature. The NCC is working with businesses (including land owners and managers) to explore the development of corporate natural capital accounting. As part of that work, the NCC is considering the scope for corporate natural capital accounting guidance which would relate to the guidance contained here.</w:t>
      </w:r>
    </w:p>
    <w:p w:rsidR="00913351" w:rsidRPr="00BE3068" w:rsidRDefault="00913351" w:rsidP="00BE3068">
      <w:pPr>
        <w:pStyle w:val="Heading2"/>
      </w:pPr>
      <w:bookmarkStart w:id="9" w:name="_Toc358302238"/>
      <w:bookmarkStart w:id="10" w:name="_Toc380763530"/>
      <w:r w:rsidRPr="00BE3068">
        <w:t>Legal framework for reporting</w:t>
      </w:r>
      <w:bookmarkEnd w:id="9"/>
      <w:bookmarkEnd w:id="10"/>
    </w:p>
    <w:p w:rsidR="00913351" w:rsidRPr="006A6CE3" w:rsidRDefault="00913351" w:rsidP="00E204D9">
      <w:pPr>
        <w:rPr>
          <w:rFonts w:cs="Arial"/>
        </w:rPr>
      </w:pPr>
      <w:r w:rsidRPr="006A6CE3">
        <w:rPr>
          <w:rFonts w:cs="Arial"/>
          <w:lang w:eastAsia="en-GB"/>
        </w:rPr>
        <w:t>The</w:t>
      </w:r>
      <w:r w:rsidRPr="006A6CE3">
        <w:rPr>
          <w:rFonts w:cs="Arial"/>
        </w:rPr>
        <w:t xml:space="preserve"> Companies Act 2006 (Strategic Report and Directors’ Reports) Regulations 2013 requires quoted companies to report on greenhouse gas (GHG) emissions for which they are responsible.  Quoted companies, as defined by the Companies Act 2006</w:t>
      </w:r>
      <w:r w:rsidRPr="006A6CE3">
        <w:rPr>
          <w:rStyle w:val="FootnoteReference"/>
          <w:rFonts w:cs="Arial"/>
        </w:rPr>
        <w:footnoteReference w:id="3"/>
      </w:r>
      <w:r w:rsidRPr="006A6CE3">
        <w:rPr>
          <w:rFonts w:cs="Arial"/>
        </w:rPr>
        <w:t xml:space="preserve">, are also required to report </w:t>
      </w:r>
      <w:r w:rsidRPr="006A6CE3">
        <w:rPr>
          <w:rFonts w:cs="Arial"/>
          <w:lang w:eastAsia="en-GB"/>
        </w:rPr>
        <w:t xml:space="preserve">on environmental matters to the extent it is necessary for an understanding of the company’s business within their Annual Report </w:t>
      </w:r>
      <w:r w:rsidRPr="006A6CE3">
        <w:rPr>
          <w:rStyle w:val="FootnoteReference"/>
          <w:rFonts w:cs="Arial"/>
          <w:lang w:eastAsia="en-GB"/>
        </w:rPr>
        <w:footnoteReference w:id="4"/>
      </w:r>
      <w:r w:rsidRPr="006A6CE3">
        <w:rPr>
          <w:rFonts w:cs="Arial"/>
          <w:lang w:eastAsia="en-GB"/>
        </w:rPr>
        <w:t>, including where appropriate the use of key performance indicators (KPIs).</w:t>
      </w:r>
      <w:r w:rsidRPr="006A6CE3">
        <w:rPr>
          <w:rStyle w:val="FootnoteReference"/>
          <w:rFonts w:cs="Arial"/>
        </w:rPr>
        <w:footnoteReference w:id="5"/>
      </w:r>
      <w:r w:rsidRPr="006A6CE3">
        <w:rPr>
          <w:rFonts w:cs="Arial"/>
          <w:lang w:eastAsia="en-GB"/>
        </w:rPr>
        <w:t xml:space="preserve"> </w:t>
      </w:r>
      <w:r w:rsidRPr="006A6CE3">
        <w:rPr>
          <w:rFonts w:cs="Arial"/>
        </w:rPr>
        <w:t xml:space="preserve">If the Annual Report does not contain this information, then it must point out the omissions.  </w:t>
      </w:r>
    </w:p>
    <w:p w:rsidR="00913351" w:rsidRPr="006A6CE3" w:rsidRDefault="00913351" w:rsidP="00E204D9">
      <w:pPr>
        <w:rPr>
          <w:rFonts w:cs="Arial"/>
        </w:rPr>
      </w:pPr>
      <w:r w:rsidRPr="006A6CE3">
        <w:rPr>
          <w:rFonts w:cs="Arial"/>
        </w:rPr>
        <w:t>Some public bodies are required or may need to consider reporting GHG or environmental issues under other legislation or commitments, for example:</w:t>
      </w:r>
    </w:p>
    <w:p w:rsidR="00913351" w:rsidRPr="006A6CE3" w:rsidRDefault="00913351" w:rsidP="0086258B">
      <w:pPr>
        <w:numPr>
          <w:ilvl w:val="0"/>
          <w:numId w:val="70"/>
        </w:numPr>
        <w:rPr>
          <w:rFonts w:cs="Arial"/>
        </w:rPr>
      </w:pPr>
      <w:r w:rsidRPr="006A6CE3">
        <w:rPr>
          <w:rFonts w:cs="Arial"/>
        </w:rPr>
        <w:lastRenderedPageBreak/>
        <w:t>Government departments, non-ministerial departments, agencies and Non-Departmental Public Bodies must report as a minimum certain GHG emissions in their Annual Reports as part of their statements on sustainability performance.</w:t>
      </w:r>
      <w:r w:rsidRPr="006A6CE3">
        <w:rPr>
          <w:rStyle w:val="FootnoteReference"/>
          <w:rFonts w:cs="Arial"/>
          <w:szCs w:val="24"/>
        </w:rPr>
        <w:footnoteReference w:id="6"/>
      </w:r>
      <w:r w:rsidRPr="006A6CE3">
        <w:rPr>
          <w:rFonts w:cs="Arial"/>
        </w:rPr>
        <w:t xml:space="preserve"> </w:t>
      </w:r>
    </w:p>
    <w:p w:rsidR="00913351" w:rsidRPr="006A6CE3" w:rsidRDefault="00913351" w:rsidP="0086258B">
      <w:pPr>
        <w:numPr>
          <w:ilvl w:val="0"/>
          <w:numId w:val="70"/>
        </w:numPr>
        <w:rPr>
          <w:rFonts w:cs="Arial"/>
        </w:rPr>
      </w:pPr>
      <w:r w:rsidRPr="006A6CE3">
        <w:rPr>
          <w:rFonts w:cs="Arial"/>
        </w:rPr>
        <w:t>Local authorities in England have been requested by Government to measure and report their GHG emissions from their own estate and operations</w:t>
      </w:r>
      <w:r w:rsidRPr="006A6CE3">
        <w:rPr>
          <w:rFonts w:cs="Arial"/>
          <w:color w:val="000000"/>
        </w:rPr>
        <w:t>.</w:t>
      </w:r>
      <w:r w:rsidRPr="006A6CE3">
        <w:rPr>
          <w:rStyle w:val="FootnoteReference"/>
          <w:rFonts w:cs="Arial"/>
          <w:color w:val="000000"/>
          <w:szCs w:val="24"/>
        </w:rPr>
        <w:footnoteReference w:id="7"/>
      </w:r>
    </w:p>
    <w:p w:rsidR="00913351" w:rsidRPr="006A6CE3" w:rsidRDefault="00913351" w:rsidP="00AA48B1">
      <w:pPr>
        <w:rPr>
          <w:rFonts w:cs="Arial"/>
        </w:rPr>
      </w:pPr>
      <w:r w:rsidRPr="006A6CE3">
        <w:rPr>
          <w:rFonts w:cs="Arial"/>
        </w:rPr>
        <w:t xml:space="preserve">The Environment Agency and the Institute of Chartered Accountants in England &amp; Wales have published </w:t>
      </w:r>
      <w:hyperlink r:id="rId22" w:history="1">
        <w:r w:rsidRPr="006A6CE3">
          <w:rPr>
            <w:rStyle w:val="Hyperlink"/>
            <w:rFonts w:cs="Arial"/>
          </w:rPr>
          <w:t>guidance for company directors</w:t>
        </w:r>
      </w:hyperlink>
      <w:r w:rsidRPr="006A6CE3">
        <w:rPr>
          <w:rFonts w:cs="Arial"/>
        </w:rPr>
        <w:t xml:space="preserve"> and those preparing and auditing annual financial statements to help them in understanding what is required to be reported and how this relates to the latest statutory financial accounting and reporting standards</w:t>
      </w:r>
      <w:r w:rsidRPr="006A6CE3">
        <w:rPr>
          <w:rStyle w:val="FootnoteReference"/>
          <w:rFonts w:cs="Arial"/>
        </w:rPr>
        <w:footnoteReference w:id="8"/>
      </w:r>
      <w:r w:rsidRPr="006A6CE3">
        <w:rPr>
          <w:rFonts w:cs="Arial"/>
        </w:rPr>
        <w:t>.</w:t>
      </w:r>
    </w:p>
    <w:p w:rsidR="00913351" w:rsidRPr="006A6CE3" w:rsidRDefault="00913351" w:rsidP="00AA48B1">
      <w:pPr>
        <w:rPr>
          <w:rFonts w:cs="Arial"/>
        </w:rPr>
      </w:pPr>
      <w:r w:rsidRPr="006A6CE3">
        <w:rPr>
          <w:rFonts w:cs="Arial"/>
          <w:bCs/>
        </w:rPr>
        <w:t>You can use this guidance to report your environmental impacts alongside social impacts and community involvement in an integrated report.  Integrated reporting communicates</w:t>
      </w:r>
      <w:r w:rsidRPr="006A6CE3">
        <w:rPr>
          <w:rFonts w:cs="Arial"/>
          <w:color w:val="000000"/>
        </w:rPr>
        <w:t xml:space="preserve"> material information about how your organisation’s strategy, governance, performance and prospects, in the context of its external environment, lead to the creation of value over the short, medium and long term. Further detail on integrated reporting can be found at </w:t>
      </w:r>
      <w:hyperlink r:id="rId23" w:history="1">
        <w:r w:rsidRPr="006A6CE3">
          <w:rPr>
            <w:rStyle w:val="Hyperlink"/>
            <w:rFonts w:cs="Arial"/>
          </w:rPr>
          <w:t>http://www.theiirc.org/</w:t>
        </w:r>
      </w:hyperlink>
      <w:r w:rsidRPr="006A6CE3" w:rsidDel="00453E43">
        <w:rPr>
          <w:rFonts w:cs="Arial"/>
          <w:bCs/>
        </w:rPr>
        <w:t xml:space="preserve"> </w:t>
      </w:r>
    </w:p>
    <w:p w:rsidR="00913351" w:rsidRPr="00BE3068" w:rsidRDefault="00913351" w:rsidP="00BE3068">
      <w:pPr>
        <w:pStyle w:val="Heading2"/>
      </w:pPr>
      <w:bookmarkStart w:id="11" w:name="_Principles_for_accounting"/>
      <w:bookmarkStart w:id="12" w:name="_Toc358054479"/>
      <w:bookmarkStart w:id="13" w:name="_Toc358054557"/>
      <w:bookmarkStart w:id="14" w:name="_Toc358060195"/>
      <w:bookmarkStart w:id="15" w:name="_Toc358302239"/>
      <w:bookmarkStart w:id="16" w:name="_Toc380763531"/>
      <w:bookmarkEnd w:id="11"/>
      <w:r w:rsidRPr="00BE3068">
        <w:t>Principles for accounting &amp; reporting environmental impacts</w:t>
      </w:r>
      <w:bookmarkEnd w:id="12"/>
      <w:bookmarkEnd w:id="13"/>
      <w:bookmarkEnd w:id="14"/>
      <w:bookmarkEnd w:id="15"/>
      <w:bookmarkEnd w:id="16"/>
      <w:r w:rsidRPr="00BE3068">
        <w:t xml:space="preserve"> </w:t>
      </w:r>
    </w:p>
    <w:p w:rsidR="00913351" w:rsidRPr="006A6CE3" w:rsidRDefault="00913351" w:rsidP="00C64465">
      <w:pPr>
        <w:rPr>
          <w:rFonts w:cs="Arial"/>
        </w:rPr>
      </w:pPr>
      <w:r w:rsidRPr="006A6CE3">
        <w:rPr>
          <w:rFonts w:cs="Arial"/>
        </w:rPr>
        <w:t>The following principles should be applied when collecting and reporting on environmental impacts</w:t>
      </w:r>
      <w:r w:rsidRPr="006A6CE3">
        <w:rPr>
          <w:rStyle w:val="FootnoteReference"/>
          <w:rFonts w:cs="Arial"/>
          <w:szCs w:val="24"/>
        </w:rPr>
        <w:footnoteReference w:id="9"/>
      </w:r>
      <w:r w:rsidRPr="006A6CE3">
        <w:rPr>
          <w:rFonts w:cs="Arial"/>
        </w:rPr>
        <w:t>:</w:t>
      </w:r>
    </w:p>
    <w:p w:rsidR="00913351" w:rsidRPr="006A6CE3" w:rsidRDefault="00913351" w:rsidP="00C64465">
      <w:pPr>
        <w:rPr>
          <w:rFonts w:cs="Arial"/>
        </w:rPr>
      </w:pPr>
      <w:r w:rsidRPr="006A6CE3">
        <w:rPr>
          <w:rFonts w:cs="Arial"/>
          <w:b/>
          <w:bCs/>
        </w:rPr>
        <w:t xml:space="preserve">Relevant: </w:t>
      </w:r>
      <w:r w:rsidRPr="006A6CE3">
        <w:rPr>
          <w:rFonts w:cs="Arial"/>
          <w:bCs/>
        </w:rPr>
        <w:t>E</w:t>
      </w:r>
      <w:r w:rsidRPr="006A6CE3">
        <w:rPr>
          <w:rFonts w:cs="Arial"/>
        </w:rPr>
        <w:t xml:space="preserve">nsure the data collected and reported appropriately reflects the environmental impacts of your organisation and serves the decision-making needs of users—both internal and external to your organisation.  </w:t>
      </w:r>
    </w:p>
    <w:p w:rsidR="00913351" w:rsidRPr="006A6CE3" w:rsidRDefault="00913351" w:rsidP="00C64465">
      <w:pPr>
        <w:rPr>
          <w:rFonts w:cs="Arial"/>
        </w:rPr>
      </w:pPr>
      <w:r w:rsidRPr="006A6CE3">
        <w:rPr>
          <w:rFonts w:cs="Arial"/>
          <w:b/>
          <w:bCs/>
        </w:rPr>
        <w:lastRenderedPageBreak/>
        <w:t xml:space="preserve">Quantitative: </w:t>
      </w:r>
      <w:r w:rsidRPr="006A6CE3">
        <w:rPr>
          <w:rFonts w:cs="Arial"/>
        </w:rPr>
        <w:t>KPIs need to be measurable.  Targets can be set to reduce a particular impact. In this way the effectiveness of environmental policies and management systems can be evaluated and validated. Each chapter provides the details for that subject area.  Quantitative information should be accompanied by a narrative, explaining its purpose, impacts, and giving comparators where appropriate.</w:t>
      </w:r>
    </w:p>
    <w:p w:rsidR="00913351" w:rsidRPr="006A6CE3" w:rsidRDefault="00913351" w:rsidP="00C64465">
      <w:pPr>
        <w:rPr>
          <w:rFonts w:cs="Arial"/>
          <w:b/>
          <w:bCs/>
        </w:rPr>
      </w:pPr>
      <w:r w:rsidRPr="006A6CE3">
        <w:rPr>
          <w:rFonts w:cs="Arial"/>
          <w:b/>
          <w:bCs/>
        </w:rPr>
        <w:t xml:space="preserve">Accuracy: </w:t>
      </w:r>
      <w:r w:rsidRPr="006A6CE3">
        <w:rPr>
          <w:rFonts w:cs="Arial"/>
        </w:rPr>
        <w:t>Seek to reduce uncertainties in your reported figures where practical. Achieve sufficient accuracy to enable users to make decisions with reasonable confidence as to the integrity of the reported information.</w:t>
      </w:r>
      <w:r w:rsidRPr="006A6CE3">
        <w:rPr>
          <w:rStyle w:val="FootnoteReference"/>
          <w:rFonts w:cs="Arial"/>
          <w:szCs w:val="24"/>
        </w:rPr>
        <w:footnoteReference w:id="10"/>
      </w:r>
      <w:r w:rsidRPr="006A6CE3">
        <w:rPr>
          <w:rFonts w:cs="Arial"/>
        </w:rPr>
        <w:t xml:space="preserve"> </w:t>
      </w:r>
      <w:r w:rsidRPr="006A6CE3">
        <w:rPr>
          <w:rFonts w:cs="Arial"/>
          <w:b/>
          <w:bCs/>
        </w:rPr>
        <w:t xml:space="preserve"> </w:t>
      </w:r>
    </w:p>
    <w:p w:rsidR="00913351" w:rsidRPr="006A6CE3" w:rsidRDefault="00913351" w:rsidP="00C64465">
      <w:pPr>
        <w:rPr>
          <w:rFonts w:cs="Arial"/>
        </w:rPr>
      </w:pPr>
      <w:r w:rsidRPr="006A6CE3">
        <w:rPr>
          <w:rFonts w:cs="Arial"/>
          <w:b/>
          <w:bCs/>
        </w:rPr>
        <w:t xml:space="preserve">Completeness: </w:t>
      </w:r>
      <w:r w:rsidRPr="006A6CE3">
        <w:rPr>
          <w:rFonts w:cs="Arial"/>
          <w:bCs/>
        </w:rPr>
        <w:t>Quantify</w:t>
      </w:r>
      <w:r w:rsidRPr="006A6CE3">
        <w:rPr>
          <w:rFonts w:cs="Arial"/>
          <w:b/>
          <w:bCs/>
        </w:rPr>
        <w:t xml:space="preserve"> </w:t>
      </w:r>
      <w:r w:rsidRPr="006A6CE3">
        <w:rPr>
          <w:rFonts w:cs="Arial"/>
        </w:rPr>
        <w:t xml:space="preserve">and report on all sources of environmental impact within the reporting boundary that you have defined. Disclose and justify any specific </w:t>
      </w:r>
      <w:proofErr w:type="gramStart"/>
      <w:r w:rsidRPr="006A6CE3">
        <w:rPr>
          <w:rFonts w:cs="Arial"/>
        </w:rPr>
        <w:t>exclusions</w:t>
      </w:r>
      <w:proofErr w:type="gramEnd"/>
      <w:r w:rsidRPr="006A6CE3">
        <w:rPr>
          <w:rFonts w:cs="Arial"/>
        </w:rPr>
        <w:t xml:space="preserve">. </w:t>
      </w:r>
    </w:p>
    <w:p w:rsidR="00913351" w:rsidRPr="006A6CE3" w:rsidRDefault="00913351" w:rsidP="00C64465">
      <w:pPr>
        <w:rPr>
          <w:rFonts w:cs="Arial"/>
          <w:lang w:eastAsia="en-GB"/>
        </w:rPr>
      </w:pPr>
      <w:r w:rsidRPr="006A6CE3">
        <w:rPr>
          <w:rFonts w:cs="Arial"/>
          <w:b/>
        </w:rPr>
        <w:t>Consistent:</w:t>
      </w:r>
      <w:r w:rsidRPr="006A6CE3">
        <w:rPr>
          <w:rFonts w:cs="Arial"/>
        </w:rPr>
        <w:t xml:space="preserve"> Use consistent methodologies to allow for meaningful comparisons of environmental impact data over time. </w:t>
      </w:r>
      <w:proofErr w:type="gramStart"/>
      <w:r w:rsidRPr="006A6CE3">
        <w:rPr>
          <w:rFonts w:cs="Arial"/>
        </w:rPr>
        <w:t>Document any changes to the data, changes in your organisational boundary, methods, or any other relevant factors.</w:t>
      </w:r>
      <w:proofErr w:type="gramEnd"/>
    </w:p>
    <w:p w:rsidR="00913351" w:rsidRPr="006A6CE3" w:rsidRDefault="00913351" w:rsidP="00C64465">
      <w:pPr>
        <w:rPr>
          <w:rFonts w:cs="Arial"/>
          <w:color w:val="000000"/>
        </w:rPr>
      </w:pPr>
      <w:r w:rsidRPr="006A6CE3">
        <w:rPr>
          <w:rFonts w:cs="Arial"/>
          <w:b/>
          <w:bCs/>
        </w:rPr>
        <w:t xml:space="preserve">Comparable: </w:t>
      </w:r>
      <w:r w:rsidRPr="006A6CE3">
        <w:rPr>
          <w:rFonts w:cs="Arial"/>
          <w:bCs/>
        </w:rPr>
        <w:t>C</w:t>
      </w:r>
      <w:r w:rsidRPr="006A6CE3">
        <w:rPr>
          <w:rFonts w:cs="Arial"/>
          <w:color w:val="000000"/>
        </w:rPr>
        <w:t>ompanies should report data using accepted KPIs rather than organisations inventing their own versions of potentially standard indicators. The narrative part of a report provides the opportunity for a company to discuss any tensions which exist between providing comparable data and reporting company-specific KPIs.  Use of accepted KPIs will aid you in benchmarking your organization and will aid users of your report to judge your performance against that of your peers</w:t>
      </w:r>
      <w:r w:rsidRPr="006A6CE3">
        <w:rPr>
          <w:rFonts w:cs="Arial"/>
        </w:rPr>
        <w:t xml:space="preserve">. </w:t>
      </w:r>
    </w:p>
    <w:p w:rsidR="00913351" w:rsidRPr="006A6CE3" w:rsidRDefault="00913351" w:rsidP="00C64465">
      <w:pPr>
        <w:rPr>
          <w:rFonts w:cs="Arial"/>
          <w:lang w:eastAsia="en-GB"/>
        </w:rPr>
      </w:pPr>
      <w:r w:rsidRPr="006A6CE3">
        <w:rPr>
          <w:rFonts w:cs="Arial"/>
          <w:b/>
          <w:color w:val="000000"/>
        </w:rPr>
        <w:t xml:space="preserve">Transparent: </w:t>
      </w:r>
      <w:r w:rsidRPr="006A6CE3">
        <w:rPr>
          <w:rFonts w:cs="Arial"/>
          <w:color w:val="000000"/>
        </w:rPr>
        <w:t xml:space="preserve">This is </w:t>
      </w:r>
      <w:r w:rsidRPr="006A6CE3">
        <w:rPr>
          <w:rFonts w:cs="Arial"/>
          <w:lang w:eastAsia="en-GB"/>
        </w:rPr>
        <w:t xml:space="preserve">essential to producing a credible report. </w:t>
      </w:r>
      <w:r w:rsidRPr="006A6CE3">
        <w:rPr>
          <w:rFonts w:cs="Arial"/>
        </w:rPr>
        <w:t xml:space="preserve">Address all relevant issues in a factual and coherent manner, keeping a record of all assumptions, calculations, and methodologies used. </w:t>
      </w:r>
      <w:r w:rsidRPr="006A6CE3">
        <w:rPr>
          <w:rFonts w:cs="Arial"/>
          <w:lang w:eastAsia="en-GB"/>
        </w:rPr>
        <w:t xml:space="preserve">Internal processes, systems and procedures are important and the quantitative data will be greatly enhanced if accompanied by a description of how and why the data are collected. </w:t>
      </w:r>
      <w:r w:rsidRPr="006A6CE3">
        <w:rPr>
          <w:rFonts w:cs="Arial"/>
        </w:rPr>
        <w:t>Report on any relevant assumptions and make appropriate references to methodologies and data sources used. There is more on transparency in Step 5 on reporting.</w:t>
      </w:r>
    </w:p>
    <w:p w:rsidR="00913351" w:rsidRPr="006A6CE3" w:rsidRDefault="00913351" w:rsidP="00E204D9">
      <w:pPr>
        <w:autoSpaceDE w:val="0"/>
        <w:autoSpaceDN w:val="0"/>
        <w:adjustRightInd w:val="0"/>
        <w:spacing w:after="0"/>
        <w:rPr>
          <w:rFonts w:cs="Arial"/>
          <w:color w:val="000000"/>
          <w:lang w:eastAsia="en-GB"/>
        </w:rPr>
      </w:pPr>
      <w:r w:rsidRPr="006A6CE3">
        <w:rPr>
          <w:rFonts w:cs="Arial"/>
          <w:color w:val="000000"/>
          <w:lang w:eastAsia="en-GB"/>
        </w:rPr>
        <w:br w:type="page"/>
      </w:r>
    </w:p>
    <w:p w:rsidR="00913351" w:rsidRPr="006A6CE3" w:rsidRDefault="00913351" w:rsidP="00E204D9">
      <w:pPr>
        <w:pStyle w:val="Heading1"/>
        <w:rPr>
          <w:rStyle w:val="Heading3Char"/>
          <w:rFonts w:cs="Arial"/>
        </w:rPr>
      </w:pPr>
      <w:bookmarkStart w:id="17" w:name="_Toc358054480"/>
      <w:bookmarkStart w:id="18" w:name="_Toc358054558"/>
      <w:bookmarkStart w:id="19" w:name="_Toc358060196"/>
      <w:bookmarkStart w:id="20" w:name="_Toc358302240"/>
      <w:bookmarkStart w:id="21" w:name="_Toc380763532"/>
      <w:r w:rsidRPr="006A6CE3">
        <w:rPr>
          <w:rFonts w:cs="Arial"/>
        </w:rPr>
        <w:lastRenderedPageBreak/>
        <w:t>Chapter 1:  Steps in reporting your environmental impacts</w:t>
      </w:r>
      <w:bookmarkEnd w:id="17"/>
      <w:bookmarkEnd w:id="18"/>
      <w:bookmarkEnd w:id="19"/>
      <w:bookmarkEnd w:id="20"/>
      <w:bookmarkEnd w:id="21"/>
    </w:p>
    <w:p w:rsidR="00913351" w:rsidRPr="006A6CE3" w:rsidRDefault="00913351" w:rsidP="00E204D9">
      <w:pPr>
        <w:pStyle w:val="NoSpacing"/>
        <w:rPr>
          <w:rFonts w:ascii="Arial" w:hAnsi="Arial" w:cs="Arial"/>
          <w:color w:val="000000"/>
        </w:rPr>
      </w:pPr>
    </w:p>
    <w:p w:rsidR="00913351" w:rsidRPr="006A6CE3" w:rsidRDefault="00913351" w:rsidP="00C64465">
      <w:pPr>
        <w:rPr>
          <w:rFonts w:cs="Arial"/>
        </w:rPr>
      </w:pPr>
      <w:r w:rsidRPr="006A6CE3">
        <w:rPr>
          <w:rFonts w:cs="Arial"/>
        </w:rPr>
        <w:t>This section covers the steps to take when considering your environmental impacts and which KPIs to report on. For simplicity we have laid this out into 5 key steps and 7 supporting actions.</w:t>
      </w:r>
    </w:p>
    <w:p w:rsidR="00311927" w:rsidRPr="006A6CE3" w:rsidRDefault="00311927" w:rsidP="00C64465">
      <w:pPr>
        <w:rPr>
          <w:rFonts w:cs="Arial"/>
        </w:rPr>
      </w:pPr>
    </w:p>
    <w:p w:rsidR="00913351" w:rsidRPr="006A6CE3" w:rsidRDefault="00913351" w:rsidP="00C64465">
      <w:pPr>
        <w:rPr>
          <w:rFonts w:cs="Arial"/>
        </w:rPr>
      </w:pPr>
      <w:r w:rsidRPr="006A6CE3">
        <w:rPr>
          <w:rFonts w:cs="Arial"/>
        </w:rPr>
        <w:t xml:space="preserve">As a starting point you should work through steps 1 – 5 in order to report on your key environmental impacts. </w:t>
      </w:r>
    </w:p>
    <w:p w:rsidR="00913351" w:rsidRPr="006A6CE3" w:rsidRDefault="00913351" w:rsidP="00C64465">
      <w:pPr>
        <w:rPr>
          <w:rStyle w:val="Heading3Char"/>
          <w:rFonts w:eastAsia="Calibri" w:cs="Arial"/>
          <w:sz w:val="24"/>
          <w:szCs w:val="24"/>
        </w:rPr>
      </w:pPr>
      <w:r w:rsidRPr="006A6CE3">
        <w:rPr>
          <w:rFonts w:cs="Arial"/>
          <w:b/>
        </w:rPr>
        <w:t>Step 1</w:t>
      </w:r>
      <w:r w:rsidRPr="006A6CE3">
        <w:rPr>
          <w:rFonts w:cs="Arial"/>
        </w:rPr>
        <w:t xml:space="preserve"> Determine the boundaries of your organisation. </w:t>
      </w:r>
      <w:r w:rsidRPr="006A6CE3">
        <w:rPr>
          <w:rStyle w:val="Heading3Char"/>
          <w:rFonts w:eastAsia="Calibri" w:cs="Arial"/>
          <w:sz w:val="24"/>
          <w:szCs w:val="24"/>
        </w:rPr>
        <w:t xml:space="preserve"> </w:t>
      </w:r>
    </w:p>
    <w:p w:rsidR="00913351" w:rsidRPr="006A6CE3" w:rsidRDefault="00913351" w:rsidP="00C64465">
      <w:pPr>
        <w:rPr>
          <w:rFonts w:cs="Arial"/>
        </w:rPr>
      </w:pPr>
      <w:r w:rsidRPr="006A6CE3">
        <w:rPr>
          <w:rFonts w:cs="Arial"/>
          <w:b/>
        </w:rPr>
        <w:t>Step 2</w:t>
      </w:r>
      <w:r w:rsidRPr="006A6CE3">
        <w:rPr>
          <w:rFonts w:cs="Arial"/>
        </w:rPr>
        <w:t xml:space="preserve"> Determine the period for which you should collect data</w:t>
      </w:r>
    </w:p>
    <w:p w:rsidR="00913351" w:rsidRPr="006A6CE3" w:rsidRDefault="00913351" w:rsidP="00C64465">
      <w:pPr>
        <w:rPr>
          <w:rFonts w:cs="Arial"/>
        </w:rPr>
      </w:pPr>
      <w:r w:rsidRPr="006A6CE3">
        <w:rPr>
          <w:rFonts w:cs="Arial"/>
          <w:b/>
        </w:rPr>
        <w:t>Step 3</w:t>
      </w:r>
      <w:r w:rsidRPr="006A6CE3">
        <w:rPr>
          <w:rFonts w:cs="Arial"/>
        </w:rPr>
        <w:t xml:space="preserve"> </w:t>
      </w:r>
      <w:r w:rsidRPr="006A6CE3">
        <w:rPr>
          <w:rFonts w:cs="Arial"/>
          <w:lang w:eastAsia="en-GB"/>
        </w:rPr>
        <w:t>Determine the key environmental impacts for your organisation</w:t>
      </w:r>
    </w:p>
    <w:p w:rsidR="00913351" w:rsidRPr="006A6CE3" w:rsidRDefault="00913351" w:rsidP="00C64465">
      <w:pPr>
        <w:rPr>
          <w:rFonts w:cs="Arial"/>
        </w:rPr>
      </w:pPr>
      <w:r w:rsidRPr="006A6CE3">
        <w:rPr>
          <w:rFonts w:cs="Arial"/>
          <w:b/>
        </w:rPr>
        <w:t>Step 4</w:t>
      </w:r>
      <w:r w:rsidRPr="006A6CE3">
        <w:rPr>
          <w:rFonts w:cs="Arial"/>
        </w:rPr>
        <w:t xml:space="preserve"> Measure</w:t>
      </w:r>
    </w:p>
    <w:p w:rsidR="00913351" w:rsidRPr="006A6CE3" w:rsidRDefault="00913351" w:rsidP="00C64465">
      <w:pPr>
        <w:rPr>
          <w:rFonts w:cs="Arial"/>
        </w:rPr>
      </w:pPr>
      <w:r w:rsidRPr="006A6CE3">
        <w:rPr>
          <w:rFonts w:cs="Arial"/>
          <w:b/>
        </w:rPr>
        <w:t>Step 5</w:t>
      </w:r>
      <w:r w:rsidRPr="006A6CE3">
        <w:rPr>
          <w:rFonts w:cs="Arial"/>
        </w:rPr>
        <w:t xml:space="preserve"> Report</w:t>
      </w:r>
    </w:p>
    <w:p w:rsidR="00913351" w:rsidRPr="006A6CE3" w:rsidRDefault="00913351" w:rsidP="00C64465">
      <w:pPr>
        <w:rPr>
          <w:rFonts w:cs="Arial"/>
        </w:rPr>
      </w:pPr>
      <w:r w:rsidRPr="006A6CE3">
        <w:rPr>
          <w:rFonts w:cs="Arial"/>
        </w:rPr>
        <w:t xml:space="preserve">We recommend you develop and report at least 3 KPIs associated with your key environmental impacts.  </w:t>
      </w:r>
    </w:p>
    <w:p w:rsidR="00913351" w:rsidRPr="006A6CE3" w:rsidRDefault="00913351" w:rsidP="00C64465">
      <w:pPr>
        <w:rPr>
          <w:rFonts w:cs="Arial"/>
        </w:rPr>
      </w:pPr>
      <w:r w:rsidRPr="006A6CE3">
        <w:rPr>
          <w:rFonts w:cs="Arial"/>
        </w:rPr>
        <w:t xml:space="preserve">You should then consider actions i – vii (below) which provide you with information to help you develop your environmental strategy. </w:t>
      </w:r>
    </w:p>
    <w:p w:rsidR="00913351" w:rsidRPr="006A6CE3" w:rsidRDefault="00913351" w:rsidP="00C64465">
      <w:pPr>
        <w:rPr>
          <w:rFonts w:cs="Arial"/>
        </w:rPr>
      </w:pPr>
      <w:r w:rsidRPr="006A6CE3">
        <w:rPr>
          <w:rFonts w:cs="Arial"/>
          <w:b/>
        </w:rPr>
        <w:t>Action i</w:t>
      </w:r>
      <w:r w:rsidRPr="006A6CE3">
        <w:rPr>
          <w:rFonts w:cs="Arial"/>
        </w:rPr>
        <w:t xml:space="preserve"> Intensity ratios</w:t>
      </w:r>
    </w:p>
    <w:p w:rsidR="00913351" w:rsidRPr="006A6CE3" w:rsidRDefault="00913351" w:rsidP="00C64465">
      <w:pPr>
        <w:rPr>
          <w:rFonts w:cs="Arial"/>
        </w:rPr>
      </w:pPr>
      <w:r w:rsidRPr="006A6CE3">
        <w:rPr>
          <w:rFonts w:cs="Arial"/>
          <w:b/>
        </w:rPr>
        <w:t>Action ii</w:t>
      </w:r>
      <w:r w:rsidRPr="006A6CE3">
        <w:rPr>
          <w:rFonts w:cs="Arial"/>
        </w:rPr>
        <w:t xml:space="preserve"> </w:t>
      </w:r>
      <w:proofErr w:type="gramStart"/>
      <w:r w:rsidRPr="006A6CE3">
        <w:rPr>
          <w:rFonts w:cs="Arial"/>
        </w:rPr>
        <w:t>Setting</w:t>
      </w:r>
      <w:proofErr w:type="gramEnd"/>
      <w:r w:rsidRPr="006A6CE3">
        <w:rPr>
          <w:rFonts w:cs="Arial"/>
        </w:rPr>
        <w:t xml:space="preserve"> a base year</w:t>
      </w:r>
    </w:p>
    <w:p w:rsidR="00913351" w:rsidRPr="006A6CE3" w:rsidRDefault="00913351" w:rsidP="00C64465">
      <w:pPr>
        <w:rPr>
          <w:rFonts w:cs="Arial"/>
        </w:rPr>
      </w:pPr>
      <w:r w:rsidRPr="006A6CE3">
        <w:rPr>
          <w:rFonts w:cs="Arial"/>
          <w:b/>
        </w:rPr>
        <w:t>Action iii</w:t>
      </w:r>
      <w:r w:rsidRPr="006A6CE3">
        <w:rPr>
          <w:rFonts w:cs="Arial"/>
        </w:rPr>
        <w:t xml:space="preserve"> </w:t>
      </w:r>
      <w:proofErr w:type="gramStart"/>
      <w:r w:rsidRPr="006A6CE3">
        <w:rPr>
          <w:rFonts w:cs="Arial"/>
        </w:rPr>
        <w:t>Setting</w:t>
      </w:r>
      <w:proofErr w:type="gramEnd"/>
      <w:r w:rsidRPr="006A6CE3">
        <w:rPr>
          <w:rFonts w:cs="Arial"/>
        </w:rPr>
        <w:t xml:space="preserve"> a target</w:t>
      </w:r>
    </w:p>
    <w:p w:rsidR="00913351" w:rsidRPr="006A6CE3" w:rsidRDefault="00913351" w:rsidP="00C64465">
      <w:pPr>
        <w:rPr>
          <w:rFonts w:cs="Arial"/>
        </w:rPr>
      </w:pPr>
      <w:r w:rsidRPr="006A6CE3">
        <w:rPr>
          <w:rFonts w:cs="Arial"/>
          <w:b/>
        </w:rPr>
        <w:t xml:space="preserve">Action </w:t>
      </w:r>
      <w:proofErr w:type="gramStart"/>
      <w:r w:rsidRPr="006A6CE3">
        <w:rPr>
          <w:rFonts w:cs="Arial"/>
          <w:b/>
        </w:rPr>
        <w:t>iv</w:t>
      </w:r>
      <w:proofErr w:type="gramEnd"/>
      <w:r w:rsidRPr="006A6CE3">
        <w:rPr>
          <w:rFonts w:cs="Arial"/>
        </w:rPr>
        <w:t xml:space="preserve"> Verification &amp; assurance</w:t>
      </w:r>
    </w:p>
    <w:p w:rsidR="00913351" w:rsidRPr="006A6CE3" w:rsidRDefault="00913351" w:rsidP="00C64465">
      <w:pPr>
        <w:rPr>
          <w:rFonts w:cs="Arial"/>
        </w:rPr>
      </w:pPr>
      <w:r w:rsidRPr="006A6CE3">
        <w:rPr>
          <w:rFonts w:cs="Arial"/>
          <w:b/>
        </w:rPr>
        <w:t>Action v</w:t>
      </w:r>
      <w:r w:rsidRPr="006A6CE3">
        <w:rPr>
          <w:rFonts w:cs="Arial"/>
        </w:rPr>
        <w:t xml:space="preserve"> </w:t>
      </w:r>
      <w:proofErr w:type="gramStart"/>
      <w:r w:rsidRPr="006A6CE3">
        <w:rPr>
          <w:rFonts w:cs="Arial"/>
        </w:rPr>
        <w:t>Your</w:t>
      </w:r>
      <w:proofErr w:type="gramEnd"/>
      <w:r w:rsidRPr="006A6CE3">
        <w:rPr>
          <w:rFonts w:cs="Arial"/>
        </w:rPr>
        <w:t xml:space="preserve"> upstream supply chain</w:t>
      </w:r>
    </w:p>
    <w:p w:rsidR="00913351" w:rsidRPr="006A6CE3" w:rsidRDefault="00913351" w:rsidP="00C64465">
      <w:pPr>
        <w:rPr>
          <w:rFonts w:cs="Arial"/>
        </w:rPr>
      </w:pPr>
      <w:r w:rsidRPr="006A6CE3">
        <w:rPr>
          <w:rFonts w:cs="Arial"/>
          <w:b/>
        </w:rPr>
        <w:t xml:space="preserve">Action </w:t>
      </w:r>
      <w:proofErr w:type="gramStart"/>
      <w:r w:rsidRPr="006A6CE3">
        <w:rPr>
          <w:rFonts w:cs="Arial"/>
          <w:b/>
        </w:rPr>
        <w:t>vi</w:t>
      </w:r>
      <w:proofErr w:type="gramEnd"/>
      <w:r w:rsidRPr="006A6CE3">
        <w:rPr>
          <w:rFonts w:cs="Arial"/>
        </w:rPr>
        <w:t xml:space="preserve"> Downstream impacts</w:t>
      </w:r>
    </w:p>
    <w:p w:rsidR="00913351" w:rsidRPr="006A6CE3" w:rsidRDefault="00913351" w:rsidP="00C64465">
      <w:pPr>
        <w:rPr>
          <w:rFonts w:cs="Arial"/>
        </w:rPr>
      </w:pPr>
      <w:r w:rsidRPr="006A6CE3">
        <w:rPr>
          <w:rFonts w:cs="Arial"/>
          <w:b/>
        </w:rPr>
        <w:t>Action vii</w:t>
      </w:r>
      <w:r w:rsidRPr="006A6CE3">
        <w:rPr>
          <w:rFonts w:cs="Arial"/>
        </w:rPr>
        <w:t xml:space="preserve"> Business continuity and environmental risks</w:t>
      </w:r>
    </w:p>
    <w:p w:rsidR="00913351" w:rsidRPr="006A6CE3" w:rsidRDefault="00913351" w:rsidP="00C64465">
      <w:pPr>
        <w:rPr>
          <w:rFonts w:cs="Arial"/>
        </w:rPr>
      </w:pPr>
    </w:p>
    <w:p w:rsidR="00913351" w:rsidRPr="006A6CE3" w:rsidRDefault="00913351" w:rsidP="00E01217">
      <w:pPr>
        <w:rPr>
          <w:rFonts w:cs="Arial"/>
        </w:rPr>
      </w:pPr>
      <w:r w:rsidRPr="006A6CE3">
        <w:rPr>
          <w:rFonts w:cs="Arial"/>
        </w:rPr>
        <w:lastRenderedPageBreak/>
        <w:t xml:space="preserve">Working through these steps will enable you to present a summary of your environmental findings in relation to your organisation’s activities and what you did to improve your performance. You should be clear how any targets reflect regulations or international standards. Provision of a narrative description of your actions, highlighting any key developments for the year and giving specific case studies relevant to your organisation will help provide a more comprehensive view of your organisation’s environmental performance and strategy.  </w:t>
      </w:r>
    </w:p>
    <w:p w:rsidR="00913351" w:rsidRPr="001D2F48" w:rsidRDefault="00913351" w:rsidP="00BE3068">
      <w:pPr>
        <w:pStyle w:val="Heading2"/>
      </w:pPr>
      <w:bookmarkStart w:id="22" w:name="_Step_1:_Determine"/>
      <w:bookmarkStart w:id="23" w:name="_Toc358054481"/>
      <w:bookmarkStart w:id="24" w:name="_Toc358054559"/>
      <w:bookmarkStart w:id="25" w:name="_Toc358060197"/>
      <w:bookmarkStart w:id="26" w:name="_Toc358302241"/>
      <w:bookmarkStart w:id="27" w:name="_Toc380763533"/>
      <w:bookmarkEnd w:id="22"/>
      <w:r w:rsidRPr="001D2F48">
        <w:rPr>
          <w:lang w:eastAsia="en-GB"/>
        </w:rPr>
        <w:t xml:space="preserve">Step 1: </w:t>
      </w:r>
      <w:r w:rsidRPr="001D2F48">
        <w:t>Determine the boundaries of your organisation.  Do you need to report on all parts of your organisation?</w:t>
      </w:r>
      <w:bookmarkEnd w:id="23"/>
      <w:bookmarkEnd w:id="24"/>
      <w:bookmarkEnd w:id="25"/>
      <w:bookmarkEnd w:id="26"/>
      <w:bookmarkEnd w:id="27"/>
      <w:r w:rsidRPr="001D2F48">
        <w:t xml:space="preserve">  </w:t>
      </w:r>
    </w:p>
    <w:p w:rsidR="00913351" w:rsidRPr="006A6CE3" w:rsidRDefault="00913351" w:rsidP="00E204D9">
      <w:pPr>
        <w:rPr>
          <w:rFonts w:cs="Arial"/>
          <w:szCs w:val="24"/>
        </w:rPr>
      </w:pPr>
      <w:r w:rsidRPr="006A6CE3">
        <w:rPr>
          <w:rFonts w:cs="Arial"/>
          <w:szCs w:val="24"/>
        </w:rPr>
        <w:t xml:space="preserve">Define the operations on which you are going to report, i.e. set your organisational boundary.  If you have a simple organisational structure and own 100% of the assets that you operate, it is straight-forward: you would report on the impacts from everything that you own and operate.  However, for organisations with more complex structures in which some entities may be part-owned, or owned but not operated and vice versa, a different approach is </w:t>
      </w:r>
      <w:proofErr w:type="gramStart"/>
      <w:r w:rsidRPr="006A6CE3">
        <w:rPr>
          <w:rFonts w:cs="Arial"/>
          <w:szCs w:val="24"/>
        </w:rPr>
        <w:t>needed that should</w:t>
      </w:r>
      <w:proofErr w:type="gramEnd"/>
      <w:r w:rsidRPr="006A6CE3">
        <w:rPr>
          <w:rFonts w:cs="Arial"/>
          <w:szCs w:val="24"/>
        </w:rPr>
        <w:t xml:space="preserve"> be applied consistently throughout the organisation.</w:t>
      </w:r>
    </w:p>
    <w:p w:rsidR="00913351" w:rsidRPr="006A6CE3" w:rsidRDefault="00913351" w:rsidP="00E204D9">
      <w:pPr>
        <w:pStyle w:val="NoSpacing"/>
        <w:rPr>
          <w:rFonts w:ascii="Arial" w:hAnsi="Arial" w:cs="Arial"/>
          <w:sz w:val="24"/>
          <w:szCs w:val="24"/>
          <w:lang w:eastAsia="en-GB"/>
        </w:rPr>
      </w:pPr>
      <w:r w:rsidRPr="006A6CE3">
        <w:rPr>
          <w:rFonts w:ascii="Arial" w:hAnsi="Arial" w:cs="Arial"/>
          <w:sz w:val="24"/>
          <w:szCs w:val="24"/>
        </w:rPr>
        <w:t xml:space="preserve">Boundaries are described below with more detail given in </w:t>
      </w:r>
      <w:hyperlink w:anchor="_Annex_A:_Organisational" w:history="1">
        <w:r w:rsidRPr="006A6CE3">
          <w:rPr>
            <w:rStyle w:val="Hyperlink"/>
            <w:rFonts w:ascii="Arial" w:hAnsi="Arial" w:cs="Arial"/>
            <w:sz w:val="24"/>
            <w:szCs w:val="24"/>
            <w:lang w:eastAsia="en-GB"/>
          </w:rPr>
          <w:t>Annex A</w:t>
        </w:r>
      </w:hyperlink>
      <w:r w:rsidRPr="006A6CE3">
        <w:rPr>
          <w:rFonts w:ascii="Arial" w:hAnsi="Arial" w:cs="Arial"/>
          <w:sz w:val="24"/>
          <w:szCs w:val="24"/>
          <w:lang w:eastAsia="en-GB"/>
        </w:rPr>
        <w:t xml:space="preserve">. </w:t>
      </w:r>
    </w:p>
    <w:p w:rsidR="00913351" w:rsidRPr="006A6CE3" w:rsidRDefault="00913351" w:rsidP="00E204D9">
      <w:pPr>
        <w:rPr>
          <w:rStyle w:val="SubtleReference"/>
          <w:rFonts w:cs="Arial"/>
          <w:color w:val="76923C"/>
          <w:sz w:val="28"/>
          <w:szCs w:val="28"/>
        </w:rPr>
      </w:pPr>
      <w:r w:rsidRPr="006A6CE3">
        <w:rPr>
          <w:rStyle w:val="SubtleReference"/>
          <w:rFonts w:cs="Arial"/>
          <w:color w:val="76923C"/>
          <w:sz w:val="28"/>
          <w:szCs w:val="28"/>
        </w:rPr>
        <w:t xml:space="preserve">Financial control boundary </w:t>
      </w:r>
    </w:p>
    <w:p w:rsidR="00913351" w:rsidRPr="006A6CE3" w:rsidRDefault="00913351" w:rsidP="00E204D9">
      <w:pPr>
        <w:rPr>
          <w:rFonts w:cs="Arial"/>
          <w:szCs w:val="24"/>
        </w:rPr>
      </w:pPr>
      <w:r w:rsidRPr="006A6CE3">
        <w:rPr>
          <w:rFonts w:cs="Arial"/>
          <w:szCs w:val="24"/>
        </w:rPr>
        <w:t xml:space="preserve">Your organisation reports on all sources of environmental impact over which it has financial control.  Your organisation has financial control over an operation if your organisation has the ability to direct the financial and operating policies of the operation with a view to gaining economic benefits from its activities. </w:t>
      </w:r>
    </w:p>
    <w:p w:rsidR="00913351" w:rsidRPr="006A6CE3" w:rsidRDefault="00913351" w:rsidP="00E204D9">
      <w:pPr>
        <w:spacing w:after="0"/>
        <w:rPr>
          <w:rStyle w:val="SubtleReference"/>
          <w:rFonts w:cs="Arial"/>
          <w:color w:val="76923C"/>
          <w:sz w:val="28"/>
          <w:szCs w:val="28"/>
        </w:rPr>
      </w:pPr>
      <w:r w:rsidRPr="006A6CE3">
        <w:rPr>
          <w:rStyle w:val="SubtleReference"/>
          <w:rFonts w:cs="Arial"/>
          <w:color w:val="76923C"/>
          <w:sz w:val="28"/>
          <w:szCs w:val="28"/>
        </w:rPr>
        <w:t xml:space="preserve">Operational control boundary  </w:t>
      </w:r>
    </w:p>
    <w:p w:rsidR="00913351" w:rsidRPr="006A6CE3" w:rsidRDefault="00913351" w:rsidP="00E204D9">
      <w:pPr>
        <w:rPr>
          <w:rFonts w:cs="Arial"/>
        </w:rPr>
      </w:pPr>
      <w:r w:rsidRPr="006A6CE3">
        <w:rPr>
          <w:rFonts w:cs="Arial"/>
        </w:rPr>
        <w:t xml:space="preserve">Your organisation reports on all sources of environmental impact over which it has operational control. Your organisation has operational control over an operation if your organisation or one of its subsidiaries has the full authority to introduce and implement its operating policies at the operation.  </w:t>
      </w:r>
    </w:p>
    <w:p w:rsidR="00913351" w:rsidRPr="006A6CE3" w:rsidRDefault="00913351" w:rsidP="00E204D9">
      <w:pPr>
        <w:spacing w:after="0"/>
        <w:rPr>
          <w:rStyle w:val="SubtleReference"/>
          <w:rFonts w:cs="Arial"/>
          <w:color w:val="76923C"/>
          <w:sz w:val="28"/>
          <w:szCs w:val="28"/>
        </w:rPr>
      </w:pPr>
      <w:r w:rsidRPr="006A6CE3">
        <w:rPr>
          <w:rStyle w:val="SubtleReference"/>
          <w:rFonts w:cs="Arial"/>
          <w:color w:val="76923C"/>
          <w:sz w:val="28"/>
          <w:szCs w:val="28"/>
        </w:rPr>
        <w:t xml:space="preserve">Equity share boundary  </w:t>
      </w:r>
    </w:p>
    <w:p w:rsidR="00913351" w:rsidRPr="006A6CE3" w:rsidRDefault="00913351" w:rsidP="00E204D9">
      <w:pPr>
        <w:rPr>
          <w:rFonts w:cs="Arial"/>
        </w:rPr>
      </w:pPr>
      <w:r w:rsidRPr="006A6CE3">
        <w:rPr>
          <w:rFonts w:cs="Arial"/>
        </w:rPr>
        <w:t>Your organisation accounts for GHG emissions from operations according to its share of equity in the operation.</w:t>
      </w:r>
    </w:p>
    <w:p w:rsidR="00913351" w:rsidRPr="006A6CE3" w:rsidRDefault="00913351" w:rsidP="00E204D9">
      <w:pPr>
        <w:spacing w:after="0"/>
        <w:rPr>
          <w:rStyle w:val="SubtleReference"/>
          <w:rFonts w:cs="Arial"/>
          <w:color w:val="76923C"/>
          <w:sz w:val="28"/>
          <w:szCs w:val="28"/>
        </w:rPr>
      </w:pPr>
      <w:r w:rsidRPr="006A6CE3">
        <w:rPr>
          <w:rStyle w:val="SubtleReference"/>
          <w:rFonts w:cs="Arial"/>
          <w:color w:val="76923C"/>
          <w:sz w:val="28"/>
          <w:szCs w:val="28"/>
        </w:rPr>
        <w:lastRenderedPageBreak/>
        <w:t>Climate Change Reporting Framework</w:t>
      </w:r>
    </w:p>
    <w:p w:rsidR="00913351" w:rsidRPr="006A6CE3" w:rsidRDefault="00913351" w:rsidP="00E204D9">
      <w:pPr>
        <w:rPr>
          <w:rFonts w:cs="Arial"/>
        </w:rPr>
      </w:pPr>
      <w:r w:rsidRPr="006A6CE3">
        <w:rPr>
          <w:rFonts w:cs="Arial"/>
        </w:rPr>
        <w:t xml:space="preserve">The </w:t>
      </w:r>
      <w:hyperlink r:id="rId24" w:history="1">
        <w:r w:rsidRPr="006A6CE3">
          <w:rPr>
            <w:rStyle w:val="Hyperlink"/>
            <w:rFonts w:cs="Arial"/>
            <w:szCs w:val="24"/>
          </w:rPr>
          <w:t>Climate Disclosure Standards Board</w:t>
        </w:r>
      </w:hyperlink>
      <w:r w:rsidRPr="006A6CE3">
        <w:rPr>
          <w:rFonts w:cs="Arial"/>
        </w:rPr>
        <w:t xml:space="preserve"> ‘s Climate Change Reporting Framework (CCRF) sets out an approach to boundary setting that seeks to align with the boundaries used for financial reporting.  Although it has been written for reporting climate impacts, it can be used for reporting other impacts. GHG emissions from entities that you operate but are not included in the consolidated financial statement are reported separately according to the CCRF. This approach has the advantages of providing a comprehensive set of data that aligns with other reporting practices.</w:t>
      </w:r>
    </w:p>
    <w:p w:rsidR="00913351" w:rsidRPr="006A6CE3" w:rsidRDefault="00913351" w:rsidP="00E204D9">
      <w:pPr>
        <w:rPr>
          <w:rFonts w:cs="Arial"/>
          <w:lang w:eastAsia="en-GB"/>
        </w:rPr>
      </w:pPr>
      <w:r w:rsidRPr="006A6CE3">
        <w:rPr>
          <w:rFonts w:cs="Arial"/>
          <w:lang w:eastAsia="en-GB"/>
        </w:rPr>
        <w:t xml:space="preserve">The next step is to identify all of the reporting units that are within the boundary. A reporting unit can be all or part of a subsidiary company, joint venture, investment, facility, etc. Reporting units should be selected to represent the smallest practical building blocks to allow data to be reported. </w:t>
      </w:r>
    </w:p>
    <w:p w:rsidR="00913351" w:rsidRPr="006A6CE3" w:rsidRDefault="00913351" w:rsidP="00E01217">
      <w:pPr>
        <w:rPr>
          <w:rFonts w:cs="Arial"/>
          <w:lang w:eastAsia="en-GB"/>
        </w:rPr>
      </w:pPr>
      <w:r w:rsidRPr="006A6CE3">
        <w:rPr>
          <w:rFonts w:cs="Arial"/>
          <w:lang w:eastAsia="en-GB"/>
        </w:rPr>
        <w:t xml:space="preserve">Other impacts associated with your organisation’s activities </w:t>
      </w:r>
      <w:proofErr w:type="gramStart"/>
      <w:r w:rsidRPr="006A6CE3">
        <w:rPr>
          <w:rFonts w:cs="Arial"/>
          <w:lang w:eastAsia="en-GB"/>
        </w:rPr>
        <w:t>lie</w:t>
      </w:r>
      <w:proofErr w:type="gramEnd"/>
      <w:r w:rsidRPr="006A6CE3">
        <w:rPr>
          <w:rFonts w:cs="Arial"/>
          <w:lang w:eastAsia="en-GB"/>
        </w:rPr>
        <w:t xml:space="preserve"> outside of the boundary e.g. your supply chain. Further information regarding this can be found under actions v and </w:t>
      </w:r>
      <w:proofErr w:type="gramStart"/>
      <w:r w:rsidRPr="006A6CE3">
        <w:rPr>
          <w:rFonts w:cs="Arial"/>
          <w:lang w:eastAsia="en-GB"/>
        </w:rPr>
        <w:t>vi</w:t>
      </w:r>
      <w:proofErr w:type="gramEnd"/>
      <w:r w:rsidRPr="006A6CE3">
        <w:rPr>
          <w:rFonts w:cs="Arial"/>
          <w:lang w:eastAsia="en-GB"/>
        </w:rPr>
        <w:t xml:space="preserve"> in this chapter.  </w:t>
      </w:r>
    </w:p>
    <w:p w:rsidR="00913351" w:rsidRPr="006A6CE3" w:rsidRDefault="00913351" w:rsidP="00BE3068">
      <w:pPr>
        <w:pStyle w:val="Heading2"/>
      </w:pPr>
      <w:bookmarkStart w:id="28" w:name="_Toc358054560"/>
      <w:bookmarkStart w:id="29" w:name="_Toc358060198"/>
      <w:bookmarkStart w:id="30" w:name="_Toc358302242"/>
      <w:bookmarkStart w:id="31" w:name="_Toc380763534"/>
      <w:r w:rsidRPr="006A6CE3">
        <w:t xml:space="preserve">Step 2: </w:t>
      </w:r>
      <w:bookmarkStart w:id="32" w:name="_Toc343016843"/>
      <w:r w:rsidRPr="006A6CE3">
        <w:t>Determine the period you should collect data</w:t>
      </w:r>
      <w:bookmarkEnd w:id="28"/>
      <w:bookmarkEnd w:id="29"/>
      <w:bookmarkEnd w:id="30"/>
      <w:bookmarkEnd w:id="31"/>
      <w:bookmarkEnd w:id="32"/>
      <w:r w:rsidRPr="006A6CE3">
        <w:t xml:space="preserve"> </w:t>
      </w:r>
    </w:p>
    <w:p w:rsidR="00913351" w:rsidRPr="006A6CE3" w:rsidRDefault="00913351" w:rsidP="00E204D9">
      <w:pPr>
        <w:rPr>
          <w:rFonts w:cs="Arial"/>
        </w:rPr>
      </w:pPr>
      <w:r w:rsidRPr="006A6CE3">
        <w:rPr>
          <w:rFonts w:cs="Arial"/>
        </w:rPr>
        <w:t xml:space="preserve">Your reporting period should be for 12 months and should ideally correspond with your financial year because this allows for easier comparison of your financial performance with other aspects of your performance. Where they are different though, the majority of your environmental reporting year should fall within your financial year.  </w:t>
      </w:r>
    </w:p>
    <w:p w:rsidR="00913351" w:rsidRPr="006A6CE3" w:rsidRDefault="00913351" w:rsidP="00BE3068">
      <w:pPr>
        <w:pStyle w:val="Heading2"/>
        <w:rPr>
          <w:lang w:eastAsia="en-GB"/>
        </w:rPr>
      </w:pPr>
      <w:bookmarkStart w:id="33" w:name="_Toc358054561"/>
      <w:bookmarkStart w:id="34" w:name="_Toc358060199"/>
      <w:bookmarkStart w:id="35" w:name="_Toc358302243"/>
      <w:bookmarkStart w:id="36" w:name="_Toc380763535"/>
      <w:r w:rsidRPr="006A6CE3">
        <w:rPr>
          <w:lang w:eastAsia="en-GB"/>
        </w:rPr>
        <w:t>Step 3: What are the key environmental impacts for your organisation</w:t>
      </w:r>
      <w:bookmarkEnd w:id="33"/>
      <w:bookmarkEnd w:id="34"/>
      <w:bookmarkEnd w:id="35"/>
      <w:bookmarkEnd w:id="36"/>
    </w:p>
    <w:p w:rsidR="00913351" w:rsidRPr="006A6CE3" w:rsidRDefault="00913351" w:rsidP="00E204D9">
      <w:pPr>
        <w:rPr>
          <w:rFonts w:cs="Arial"/>
          <w:lang w:eastAsia="en-GB"/>
        </w:rPr>
      </w:pPr>
      <w:r w:rsidRPr="006A6CE3">
        <w:rPr>
          <w:rFonts w:cs="Arial"/>
          <w:lang w:eastAsia="en-GB"/>
        </w:rPr>
        <w:t xml:space="preserve">The next step is to </w:t>
      </w:r>
      <w:r w:rsidRPr="006A6CE3">
        <w:rPr>
          <w:rFonts w:cs="Arial"/>
        </w:rPr>
        <w:t xml:space="preserve">understand which environmental issues are </w:t>
      </w:r>
      <w:proofErr w:type="gramStart"/>
      <w:r w:rsidRPr="006A6CE3">
        <w:rPr>
          <w:rFonts w:cs="Arial"/>
        </w:rPr>
        <w:t>key</w:t>
      </w:r>
      <w:proofErr w:type="gramEnd"/>
      <w:r w:rsidRPr="006A6CE3">
        <w:rPr>
          <w:rFonts w:cs="Arial"/>
        </w:rPr>
        <w:t xml:space="preserve"> and to do this you need to understand the extent of the impacts of your organisation. </w:t>
      </w:r>
      <w:r w:rsidRPr="006A6CE3">
        <w:rPr>
          <w:rFonts w:cs="Arial"/>
          <w:lang w:eastAsia="en-GB"/>
        </w:rPr>
        <w:t xml:space="preserve">The “polluter pays principle” assigns responsibility to those parties that directly cause the pollution or use a natural resource. Using this model, emissions caused or resources used directly by your organisation fall under your direct responsibility; all other impacts are indirect (see Actions v and </w:t>
      </w:r>
      <w:proofErr w:type="gramStart"/>
      <w:r w:rsidRPr="006A6CE3">
        <w:rPr>
          <w:rFonts w:cs="Arial"/>
          <w:lang w:eastAsia="en-GB"/>
        </w:rPr>
        <w:t>vi</w:t>
      </w:r>
      <w:proofErr w:type="gramEnd"/>
      <w:r w:rsidRPr="006A6CE3">
        <w:rPr>
          <w:rFonts w:cs="Arial"/>
          <w:lang w:eastAsia="en-GB"/>
        </w:rPr>
        <w:t xml:space="preserve">).  </w:t>
      </w:r>
    </w:p>
    <w:p w:rsidR="00874244" w:rsidRDefault="00874244" w:rsidP="00E204D9">
      <w:pPr>
        <w:rPr>
          <w:rFonts w:cs="Arial"/>
          <w:b/>
          <w:color w:val="76923C"/>
          <w:sz w:val="28"/>
          <w:szCs w:val="28"/>
        </w:rPr>
      </w:pPr>
    </w:p>
    <w:p w:rsidR="00913351" w:rsidRPr="006A6CE3" w:rsidRDefault="00913351" w:rsidP="00E204D9">
      <w:pPr>
        <w:rPr>
          <w:rFonts w:cs="Arial"/>
          <w:b/>
          <w:color w:val="76923C"/>
          <w:sz w:val="28"/>
          <w:szCs w:val="28"/>
        </w:rPr>
      </w:pPr>
      <w:r w:rsidRPr="006A6CE3">
        <w:rPr>
          <w:rFonts w:cs="Arial"/>
          <w:b/>
          <w:color w:val="76923C"/>
          <w:sz w:val="28"/>
          <w:szCs w:val="28"/>
        </w:rPr>
        <w:lastRenderedPageBreak/>
        <w:t>Your Key Performance Indicators</w:t>
      </w:r>
    </w:p>
    <w:p w:rsidR="00913351" w:rsidRPr="006A6CE3" w:rsidRDefault="00913351" w:rsidP="00E204D9">
      <w:pPr>
        <w:rPr>
          <w:rFonts w:cs="Arial"/>
        </w:rPr>
      </w:pPr>
      <w:r w:rsidRPr="006A6CE3">
        <w:rPr>
          <w:rFonts w:cs="Arial"/>
        </w:rPr>
        <w:t xml:space="preserve">Through understanding your own organisation’s operations you should have a clear understanding of where your main environmental impacts occur. These are likely to fall into one or more of six categories: </w:t>
      </w:r>
    </w:p>
    <w:p w:rsidR="00913351" w:rsidRPr="006A6CE3" w:rsidRDefault="00913351" w:rsidP="00874244">
      <w:pPr>
        <w:numPr>
          <w:ilvl w:val="0"/>
          <w:numId w:val="28"/>
        </w:numPr>
        <w:spacing w:before="120"/>
        <w:ind w:left="714" w:hanging="357"/>
        <w:rPr>
          <w:rFonts w:cs="Arial"/>
        </w:rPr>
      </w:pPr>
      <w:r w:rsidRPr="006A6CE3">
        <w:rPr>
          <w:rFonts w:cs="Arial"/>
        </w:rPr>
        <w:t xml:space="preserve">Greenhouse gases </w:t>
      </w:r>
    </w:p>
    <w:p w:rsidR="00913351" w:rsidRPr="006A6CE3" w:rsidRDefault="00913351" w:rsidP="00874244">
      <w:pPr>
        <w:numPr>
          <w:ilvl w:val="0"/>
          <w:numId w:val="28"/>
        </w:numPr>
        <w:spacing w:before="120"/>
        <w:ind w:left="714" w:hanging="357"/>
        <w:rPr>
          <w:rFonts w:cs="Arial"/>
        </w:rPr>
      </w:pPr>
      <w:r w:rsidRPr="006A6CE3">
        <w:rPr>
          <w:rFonts w:cs="Arial"/>
        </w:rPr>
        <w:t>Water</w:t>
      </w:r>
    </w:p>
    <w:p w:rsidR="00913351" w:rsidRPr="006A6CE3" w:rsidRDefault="00913351" w:rsidP="00874244">
      <w:pPr>
        <w:numPr>
          <w:ilvl w:val="0"/>
          <w:numId w:val="28"/>
        </w:numPr>
        <w:spacing w:before="120"/>
        <w:ind w:left="714" w:hanging="357"/>
        <w:rPr>
          <w:rFonts w:cs="Arial"/>
        </w:rPr>
      </w:pPr>
      <w:r w:rsidRPr="006A6CE3">
        <w:rPr>
          <w:rFonts w:cs="Arial"/>
        </w:rPr>
        <w:t>Waste</w:t>
      </w:r>
    </w:p>
    <w:p w:rsidR="00913351" w:rsidRPr="006A6CE3" w:rsidRDefault="00913351" w:rsidP="00874244">
      <w:pPr>
        <w:numPr>
          <w:ilvl w:val="0"/>
          <w:numId w:val="28"/>
        </w:numPr>
        <w:spacing w:before="120"/>
        <w:ind w:left="714" w:hanging="357"/>
        <w:rPr>
          <w:rFonts w:cs="Arial"/>
        </w:rPr>
      </w:pPr>
      <w:r w:rsidRPr="006A6CE3">
        <w:rPr>
          <w:rFonts w:cs="Arial"/>
        </w:rPr>
        <w:t>Materials and resource efficiency</w:t>
      </w:r>
    </w:p>
    <w:p w:rsidR="00913351" w:rsidRPr="006A6CE3" w:rsidRDefault="00913351" w:rsidP="00874244">
      <w:pPr>
        <w:numPr>
          <w:ilvl w:val="0"/>
          <w:numId w:val="28"/>
        </w:numPr>
        <w:spacing w:before="120"/>
        <w:ind w:left="714" w:hanging="357"/>
        <w:rPr>
          <w:rFonts w:cs="Arial"/>
        </w:rPr>
      </w:pPr>
      <w:r w:rsidRPr="006A6CE3">
        <w:rPr>
          <w:rFonts w:cs="Arial"/>
        </w:rPr>
        <w:t xml:space="preserve">Biodiversity/ecosystem services </w:t>
      </w:r>
    </w:p>
    <w:p w:rsidR="00913351" w:rsidRPr="006A6CE3" w:rsidRDefault="00913351" w:rsidP="00874244">
      <w:pPr>
        <w:numPr>
          <w:ilvl w:val="0"/>
          <w:numId w:val="28"/>
        </w:numPr>
        <w:spacing w:before="120"/>
        <w:ind w:left="714" w:hanging="357"/>
        <w:rPr>
          <w:rFonts w:cs="Arial"/>
        </w:rPr>
      </w:pPr>
      <w:r w:rsidRPr="006A6CE3">
        <w:rPr>
          <w:rFonts w:cs="Arial"/>
        </w:rPr>
        <w:t>Emissions to air, land and water</w:t>
      </w:r>
    </w:p>
    <w:p w:rsidR="00913351" w:rsidRPr="006A6CE3" w:rsidRDefault="00913351" w:rsidP="00E204D9">
      <w:pPr>
        <w:rPr>
          <w:rFonts w:cs="Arial"/>
          <w:szCs w:val="24"/>
        </w:rPr>
      </w:pPr>
      <w:r w:rsidRPr="006A6CE3">
        <w:rPr>
          <w:rFonts w:cs="Arial"/>
        </w:rPr>
        <w:t xml:space="preserve">Not all six will be relevant (material) to your organisation. You should identify which are and explain why they are relevant and how they are defined. </w:t>
      </w:r>
      <w:r w:rsidRPr="006A6CE3">
        <w:rPr>
          <w:rFonts w:cs="Arial"/>
          <w:szCs w:val="24"/>
        </w:rPr>
        <w:t xml:space="preserve">There are UK and EU regulations covering these issues and, in general, for any KPI of interest to your organisation you need to ensure that you are also complying with any relevant legislation.  </w:t>
      </w:r>
    </w:p>
    <w:p w:rsidR="00913351" w:rsidRPr="00D4286B" w:rsidRDefault="00913351" w:rsidP="00BE3068">
      <w:pPr>
        <w:pStyle w:val="Heading2"/>
      </w:pPr>
      <w:bookmarkStart w:id="37" w:name="_Toc358060200"/>
      <w:bookmarkStart w:id="38" w:name="_Toc358302244"/>
      <w:bookmarkStart w:id="39" w:name="_Toc380763536"/>
      <w:r w:rsidRPr="00D4286B">
        <w:t>Step 4: Measuring</w:t>
      </w:r>
      <w:bookmarkEnd w:id="37"/>
      <w:bookmarkEnd w:id="38"/>
      <w:bookmarkEnd w:id="39"/>
      <w:r w:rsidRPr="00D4286B">
        <w:t xml:space="preserve"> </w:t>
      </w:r>
    </w:p>
    <w:p w:rsidR="00913351" w:rsidRPr="006A6CE3" w:rsidRDefault="00913351" w:rsidP="00E204D9">
      <w:pPr>
        <w:rPr>
          <w:rFonts w:cs="Arial"/>
        </w:rPr>
      </w:pPr>
      <w:r w:rsidRPr="006A6CE3">
        <w:rPr>
          <w:rFonts w:cs="Arial"/>
        </w:rPr>
        <w:t>There are a number of ways to collect and manage data at a corporate level. This could include direct entry of data by operational staff onto secure internet or intranet databases; or standard spreadsheet templates completed and emailed to a central point where data can be processed. Using a standardised reporting format is recommended to ensure that data received from different business units and operations is comparable. Ideally, environmental reporting should be integrated into your existing reporting processes.</w:t>
      </w:r>
    </w:p>
    <w:p w:rsidR="00913351" w:rsidRPr="006A6CE3" w:rsidRDefault="00913351" w:rsidP="00E204D9">
      <w:pPr>
        <w:rPr>
          <w:rFonts w:cs="Arial"/>
        </w:rPr>
      </w:pPr>
      <w:r w:rsidRPr="006A6CE3">
        <w:rPr>
          <w:rFonts w:cs="Arial"/>
        </w:rPr>
        <w:t>Your efforts to collect the best quality data should be focused on the most important sources. This assessment might</w:t>
      </w:r>
      <w:r w:rsidR="00E204D9" w:rsidRPr="006A6CE3">
        <w:rPr>
          <w:rFonts w:cs="Arial"/>
        </w:rPr>
        <w:t xml:space="preserve"> be</w:t>
      </w:r>
      <w:r w:rsidRPr="006A6CE3">
        <w:rPr>
          <w:rFonts w:cs="Arial"/>
        </w:rPr>
        <w:t xml:space="preserve"> based on:</w:t>
      </w:r>
    </w:p>
    <w:p w:rsidR="00913351" w:rsidRPr="006A6CE3" w:rsidRDefault="00913351" w:rsidP="0086258B">
      <w:pPr>
        <w:numPr>
          <w:ilvl w:val="0"/>
          <w:numId w:val="22"/>
        </w:numPr>
        <w:spacing w:before="200" w:after="200"/>
        <w:rPr>
          <w:rFonts w:cs="Arial"/>
        </w:rPr>
      </w:pPr>
      <w:r w:rsidRPr="006A6CE3">
        <w:rPr>
          <w:rFonts w:cs="Arial"/>
        </w:rPr>
        <w:t>Magnitude or size</w:t>
      </w:r>
    </w:p>
    <w:p w:rsidR="00913351" w:rsidRPr="006A6CE3" w:rsidRDefault="00913351" w:rsidP="0086258B">
      <w:pPr>
        <w:numPr>
          <w:ilvl w:val="0"/>
          <w:numId w:val="21"/>
        </w:numPr>
        <w:autoSpaceDE w:val="0"/>
        <w:autoSpaceDN w:val="0"/>
        <w:adjustRightInd w:val="0"/>
        <w:spacing w:before="200" w:after="200"/>
        <w:ind w:left="357" w:hanging="357"/>
        <w:rPr>
          <w:rFonts w:cs="Arial"/>
        </w:rPr>
      </w:pPr>
      <w:r w:rsidRPr="006A6CE3">
        <w:rPr>
          <w:rFonts w:cs="Arial"/>
        </w:rPr>
        <w:t>Financial significance</w:t>
      </w:r>
    </w:p>
    <w:p w:rsidR="00913351" w:rsidRPr="006A6CE3" w:rsidRDefault="00913351" w:rsidP="0086258B">
      <w:pPr>
        <w:numPr>
          <w:ilvl w:val="0"/>
          <w:numId w:val="21"/>
        </w:numPr>
        <w:spacing w:before="200" w:after="200"/>
        <w:ind w:left="357" w:hanging="357"/>
        <w:rPr>
          <w:rFonts w:cs="Arial"/>
        </w:rPr>
      </w:pPr>
      <w:r w:rsidRPr="006A6CE3">
        <w:rPr>
          <w:rFonts w:cs="Arial"/>
        </w:rPr>
        <w:t>Potential ability to influence impacts</w:t>
      </w:r>
    </w:p>
    <w:p w:rsidR="00913351" w:rsidRPr="006A6CE3" w:rsidRDefault="00913351" w:rsidP="0086258B">
      <w:pPr>
        <w:numPr>
          <w:ilvl w:val="0"/>
          <w:numId w:val="21"/>
        </w:numPr>
        <w:spacing w:before="200" w:after="200"/>
        <w:ind w:left="357" w:hanging="357"/>
        <w:rPr>
          <w:rFonts w:cs="Arial"/>
        </w:rPr>
      </w:pPr>
      <w:r w:rsidRPr="006A6CE3">
        <w:rPr>
          <w:rFonts w:cs="Arial"/>
        </w:rPr>
        <w:t>Importance to your business</w:t>
      </w:r>
    </w:p>
    <w:p w:rsidR="00913351" w:rsidRPr="006A6CE3" w:rsidRDefault="00913351" w:rsidP="0086258B">
      <w:pPr>
        <w:numPr>
          <w:ilvl w:val="0"/>
          <w:numId w:val="21"/>
        </w:numPr>
        <w:spacing w:before="200" w:after="200"/>
        <w:ind w:left="357" w:hanging="357"/>
        <w:rPr>
          <w:rFonts w:cs="Arial"/>
        </w:rPr>
      </w:pPr>
      <w:r w:rsidRPr="006A6CE3">
        <w:rPr>
          <w:rFonts w:cs="Arial"/>
        </w:rPr>
        <w:t>Importance to stakeholders</w:t>
      </w:r>
    </w:p>
    <w:p w:rsidR="00913351" w:rsidRPr="006A6CE3" w:rsidRDefault="00913351" w:rsidP="00E204D9">
      <w:pPr>
        <w:rPr>
          <w:rFonts w:cs="Arial"/>
        </w:rPr>
      </w:pPr>
      <w:r w:rsidRPr="006A6CE3">
        <w:rPr>
          <w:rFonts w:cs="Arial"/>
        </w:rPr>
        <w:lastRenderedPageBreak/>
        <w:t>Where possible, it is better to use primary data to calculate your KPIs. However, in some cases data may not be available or of sufficient quality in which case secondary data, such as industry-average figures, proxy data and extrapolation, may need to be used.  This is acceptable where:</w:t>
      </w:r>
    </w:p>
    <w:p w:rsidR="00913351" w:rsidRPr="006A6CE3" w:rsidRDefault="00913351" w:rsidP="0086258B">
      <w:pPr>
        <w:numPr>
          <w:ilvl w:val="0"/>
          <w:numId w:val="29"/>
        </w:numPr>
        <w:spacing w:before="200" w:after="200"/>
        <w:rPr>
          <w:rFonts w:cs="Arial"/>
        </w:rPr>
      </w:pPr>
      <w:r w:rsidRPr="006A6CE3">
        <w:rPr>
          <w:rFonts w:cs="Arial"/>
        </w:rPr>
        <w:t>you are transparent about your approach; and</w:t>
      </w:r>
    </w:p>
    <w:p w:rsidR="00913351" w:rsidRPr="006A6CE3" w:rsidRDefault="00913351" w:rsidP="0086258B">
      <w:pPr>
        <w:numPr>
          <w:ilvl w:val="0"/>
          <w:numId w:val="29"/>
        </w:numPr>
        <w:spacing w:before="200" w:after="200"/>
        <w:rPr>
          <w:rFonts w:cs="Arial"/>
        </w:rPr>
      </w:pPr>
      <w:proofErr w:type="gramStart"/>
      <w:r w:rsidRPr="006A6CE3">
        <w:rPr>
          <w:rFonts w:cs="Arial"/>
        </w:rPr>
        <w:t>the</w:t>
      </w:r>
      <w:proofErr w:type="gramEnd"/>
      <w:r w:rsidRPr="006A6CE3">
        <w:rPr>
          <w:rFonts w:cs="Arial"/>
        </w:rPr>
        <w:t xml:space="preserve"> data used is adequate to support the objectives for which you are measuring and reporting. </w:t>
      </w:r>
    </w:p>
    <w:p w:rsidR="00913351" w:rsidRPr="006A6CE3" w:rsidRDefault="00913351" w:rsidP="00E204D9">
      <w:pPr>
        <w:rPr>
          <w:rFonts w:cs="Arial"/>
        </w:rPr>
      </w:pPr>
      <w:r w:rsidRPr="006A6CE3">
        <w:rPr>
          <w:rFonts w:cs="Arial"/>
        </w:rPr>
        <w:t>You should establish a quality management system to provide a systematic process for preventing and correcting errors in your organisation’s environmental data</w:t>
      </w:r>
      <w:r w:rsidRPr="006A6CE3">
        <w:rPr>
          <w:rStyle w:val="FootnoteReference"/>
          <w:rFonts w:cs="Arial"/>
        </w:rPr>
        <w:footnoteReference w:id="11"/>
      </w:r>
      <w:r w:rsidRPr="006A6CE3">
        <w:rPr>
          <w:rFonts w:cs="Arial"/>
        </w:rPr>
        <w:t>.</w:t>
      </w:r>
    </w:p>
    <w:p w:rsidR="00913351" w:rsidRPr="006A6CE3" w:rsidRDefault="00913351" w:rsidP="00E204D9">
      <w:pPr>
        <w:rPr>
          <w:rFonts w:cs="Arial"/>
        </w:rPr>
      </w:pPr>
      <w:r w:rsidRPr="006A6CE3">
        <w:rPr>
          <w:rFonts w:cs="Arial"/>
        </w:rPr>
        <w:t>If you do estimate data, we recommend that you are transparent about the estimation technique used and apply quality measures such as comparing your estimated data to historical data to ensure that it falls within a reasonable range.</w:t>
      </w:r>
    </w:p>
    <w:p w:rsidR="00913351" w:rsidRPr="006A6CE3" w:rsidRDefault="00913351" w:rsidP="00E204D9">
      <w:pPr>
        <w:rPr>
          <w:rFonts w:cs="Arial"/>
        </w:rPr>
      </w:pPr>
      <w:r w:rsidRPr="006A6CE3">
        <w:rPr>
          <w:rFonts w:cs="Arial"/>
        </w:rPr>
        <w:t>The six environmental impact categories (above) form the subject chapters of this guidance and provide specific guidance on measuring and reporting.</w:t>
      </w:r>
    </w:p>
    <w:p w:rsidR="00913351" w:rsidRPr="006A6CE3" w:rsidRDefault="00913351" w:rsidP="00E204D9">
      <w:pPr>
        <w:pStyle w:val="Heading4"/>
        <w:rPr>
          <w:rFonts w:cs="Arial"/>
          <w:i w:val="0"/>
          <w:color w:val="76923C"/>
          <w:sz w:val="28"/>
          <w:szCs w:val="28"/>
        </w:rPr>
      </w:pPr>
      <w:bookmarkStart w:id="40" w:name="Chapter_4_1_Environmental_Management_Sys"/>
      <w:r w:rsidRPr="006A6CE3">
        <w:rPr>
          <w:rFonts w:cs="Arial"/>
          <w:i w:val="0"/>
          <w:color w:val="76923C"/>
          <w:sz w:val="28"/>
          <w:szCs w:val="28"/>
        </w:rPr>
        <w:t xml:space="preserve">Environmental Management Systems </w:t>
      </w:r>
    </w:p>
    <w:bookmarkEnd w:id="40"/>
    <w:p w:rsidR="00913351" w:rsidRPr="006A6CE3" w:rsidRDefault="00913351" w:rsidP="00E204D9">
      <w:pPr>
        <w:rPr>
          <w:rFonts w:cs="Arial"/>
        </w:rPr>
      </w:pPr>
      <w:r w:rsidRPr="006A6CE3">
        <w:rPr>
          <w:rFonts w:cs="Arial"/>
        </w:rPr>
        <w:t xml:space="preserve">The most widely used form of ensuring good data management is by the use of an Environmental Management System (EMS). EMSs help all types and sizes of organisations to meet their own environmental and sustainability targets. If you have an accredited EMS, you should state the type and whether it covers </w:t>
      </w:r>
      <w:r w:rsidR="00C23822" w:rsidRPr="006A6CE3">
        <w:rPr>
          <w:rFonts w:cs="Arial"/>
        </w:rPr>
        <w:t>your entire</w:t>
      </w:r>
      <w:r w:rsidRPr="006A6CE3">
        <w:rPr>
          <w:rFonts w:cs="Arial"/>
        </w:rPr>
        <w:t xml:space="preserve"> organisation or just part in your reporting.   </w:t>
      </w:r>
    </w:p>
    <w:p w:rsidR="00913351" w:rsidRPr="006A6CE3" w:rsidRDefault="00913351" w:rsidP="00E204D9">
      <w:pPr>
        <w:rPr>
          <w:rFonts w:cs="Arial"/>
          <w:u w:val="single"/>
        </w:rPr>
      </w:pPr>
      <w:r w:rsidRPr="006A6CE3">
        <w:rPr>
          <w:rFonts w:cs="Arial"/>
        </w:rPr>
        <w:t>Three types of formal environmental management systems are recognised in the UK:</w:t>
      </w:r>
    </w:p>
    <w:p w:rsidR="00913351" w:rsidRPr="006A6CE3" w:rsidRDefault="00C93591" w:rsidP="00E204D9">
      <w:pPr>
        <w:rPr>
          <w:rFonts w:cs="Arial"/>
          <w:szCs w:val="24"/>
        </w:rPr>
      </w:pPr>
      <w:hyperlink r:id="rId25" w:history="1">
        <w:r w:rsidR="00913351" w:rsidRPr="006A6CE3">
          <w:rPr>
            <w:rStyle w:val="Hyperlink"/>
            <w:rFonts w:cs="Arial"/>
            <w:szCs w:val="24"/>
          </w:rPr>
          <w:t>ISO 14001</w:t>
        </w:r>
      </w:hyperlink>
      <w:r w:rsidR="00913351" w:rsidRPr="006A6CE3">
        <w:rPr>
          <w:rStyle w:val="FootnoteReference"/>
          <w:rFonts w:cs="Arial"/>
          <w:szCs w:val="24"/>
        </w:rPr>
        <w:footnoteReference w:id="12"/>
      </w:r>
    </w:p>
    <w:p w:rsidR="00913351" w:rsidRPr="006A6CE3" w:rsidRDefault="00C93591" w:rsidP="00E204D9">
      <w:pPr>
        <w:rPr>
          <w:rFonts w:cs="Arial"/>
          <w:szCs w:val="24"/>
        </w:rPr>
      </w:pPr>
      <w:hyperlink r:id="rId26" w:history="1">
        <w:r w:rsidR="00913351" w:rsidRPr="006A6CE3">
          <w:rPr>
            <w:rStyle w:val="Hyperlink"/>
            <w:rFonts w:cs="Arial"/>
            <w:szCs w:val="24"/>
          </w:rPr>
          <w:t>EMAS</w:t>
        </w:r>
      </w:hyperlink>
    </w:p>
    <w:p w:rsidR="00913351" w:rsidRPr="006A6CE3" w:rsidRDefault="00C93591" w:rsidP="00E204D9">
      <w:pPr>
        <w:rPr>
          <w:rFonts w:cs="Arial"/>
          <w:szCs w:val="24"/>
        </w:rPr>
      </w:pPr>
      <w:hyperlink r:id="rId27" w:history="1">
        <w:r w:rsidR="00913351" w:rsidRPr="006A6CE3">
          <w:rPr>
            <w:rStyle w:val="Hyperlink"/>
            <w:rFonts w:cs="Arial"/>
            <w:szCs w:val="24"/>
          </w:rPr>
          <w:t xml:space="preserve">BS 8555 </w:t>
        </w:r>
      </w:hyperlink>
    </w:p>
    <w:p w:rsidR="00913351" w:rsidRPr="006A6CE3" w:rsidRDefault="00913351" w:rsidP="00BE0A76">
      <w:pPr>
        <w:rPr>
          <w:rFonts w:cs="Arial"/>
          <w:lang w:eastAsia="en-GB"/>
        </w:rPr>
      </w:pPr>
      <w:r w:rsidRPr="006A6CE3">
        <w:rPr>
          <w:rFonts w:cs="Arial"/>
          <w:lang w:eastAsia="en-GB"/>
        </w:rPr>
        <w:lastRenderedPageBreak/>
        <w:t xml:space="preserve">Some of the other step-by-step systems that exist are the Green Dragon Environmental Standard, Steps to EMS (STEM), IEMA’s Acorn Scheme and Eco Campus.  </w:t>
      </w:r>
    </w:p>
    <w:p w:rsidR="00913351" w:rsidRPr="006A6CE3" w:rsidRDefault="00913351" w:rsidP="00BE0A76">
      <w:pPr>
        <w:rPr>
          <w:rFonts w:cs="Arial"/>
        </w:rPr>
      </w:pPr>
      <w:r w:rsidRPr="006A6CE3">
        <w:rPr>
          <w:rFonts w:cs="Arial"/>
        </w:rPr>
        <w:t>EMS objectives and targets can be used to show a company’s progress against stated plans and goals, including:</w:t>
      </w:r>
    </w:p>
    <w:p w:rsidR="00913351" w:rsidRPr="006A6CE3" w:rsidRDefault="00913351" w:rsidP="0086258B">
      <w:pPr>
        <w:numPr>
          <w:ilvl w:val="0"/>
          <w:numId w:val="30"/>
        </w:numPr>
        <w:rPr>
          <w:rFonts w:cs="Arial"/>
          <w:lang w:eastAsia="en-GB"/>
        </w:rPr>
      </w:pPr>
      <w:r w:rsidRPr="006A6CE3">
        <w:rPr>
          <w:rFonts w:cs="Arial"/>
          <w:lang w:eastAsia="en-GB"/>
        </w:rPr>
        <w:t>quantitative targets based on outcomes, such as reduction of emissions or incidents;</w:t>
      </w:r>
    </w:p>
    <w:p w:rsidR="00913351" w:rsidRPr="006A6CE3" w:rsidRDefault="00913351" w:rsidP="0086258B">
      <w:pPr>
        <w:numPr>
          <w:ilvl w:val="0"/>
          <w:numId w:val="30"/>
        </w:numPr>
        <w:rPr>
          <w:rFonts w:cs="Arial"/>
          <w:lang w:eastAsia="en-GB"/>
        </w:rPr>
      </w:pPr>
      <w:r w:rsidRPr="006A6CE3">
        <w:rPr>
          <w:rFonts w:cs="Arial"/>
          <w:lang w:eastAsia="en-GB"/>
        </w:rPr>
        <w:t>quantitative or qualitative objectives in terms of inputs, such as completion of management system initiatives by a planned date;</w:t>
      </w:r>
    </w:p>
    <w:p w:rsidR="00913351" w:rsidRPr="006A6CE3" w:rsidRDefault="00913351" w:rsidP="0086258B">
      <w:pPr>
        <w:numPr>
          <w:ilvl w:val="0"/>
          <w:numId w:val="30"/>
        </w:numPr>
        <w:rPr>
          <w:rFonts w:cs="Arial"/>
          <w:lang w:eastAsia="en-GB"/>
        </w:rPr>
      </w:pPr>
      <w:r w:rsidRPr="006A6CE3">
        <w:rPr>
          <w:rFonts w:cs="Arial"/>
          <w:lang w:eastAsia="en-GB"/>
        </w:rPr>
        <w:t>annual progress measured against a commitment to continuous improvement; or</w:t>
      </w:r>
    </w:p>
    <w:p w:rsidR="00913351" w:rsidRPr="006A6CE3" w:rsidRDefault="00913351" w:rsidP="0086258B">
      <w:pPr>
        <w:numPr>
          <w:ilvl w:val="0"/>
          <w:numId w:val="1"/>
        </w:numPr>
        <w:autoSpaceDE w:val="0"/>
        <w:autoSpaceDN w:val="0"/>
        <w:adjustRightInd w:val="0"/>
        <w:spacing w:before="0" w:after="0" w:line="240" w:lineRule="auto"/>
        <w:rPr>
          <w:rFonts w:cs="Arial"/>
          <w:color w:val="000000"/>
          <w:lang w:eastAsia="en-GB"/>
        </w:rPr>
      </w:pPr>
      <w:proofErr w:type="gramStart"/>
      <w:r w:rsidRPr="006A6CE3">
        <w:rPr>
          <w:rFonts w:cs="Arial"/>
          <w:color w:val="000000"/>
          <w:lang w:eastAsia="en-GB"/>
        </w:rPr>
        <w:t>case</w:t>
      </w:r>
      <w:proofErr w:type="gramEnd"/>
      <w:r w:rsidRPr="006A6CE3">
        <w:rPr>
          <w:rFonts w:cs="Arial"/>
          <w:color w:val="000000"/>
          <w:lang w:eastAsia="en-GB"/>
        </w:rPr>
        <w:t xml:space="preserve"> studies providing evidence of programmes planned across a specified period.</w:t>
      </w:r>
    </w:p>
    <w:p w:rsidR="00913351" w:rsidRPr="006A6CE3" w:rsidRDefault="00913351" w:rsidP="00E204D9">
      <w:pPr>
        <w:autoSpaceDE w:val="0"/>
        <w:autoSpaceDN w:val="0"/>
        <w:adjustRightInd w:val="0"/>
        <w:spacing w:before="0" w:after="0" w:line="240" w:lineRule="auto"/>
        <w:ind w:left="720"/>
        <w:rPr>
          <w:rFonts w:cs="Arial"/>
          <w:color w:val="000000"/>
          <w:lang w:eastAsia="en-GB"/>
        </w:rPr>
      </w:pPr>
    </w:p>
    <w:p w:rsidR="00913351" w:rsidRPr="006A6CE3" w:rsidRDefault="00913351" w:rsidP="00BE0A76">
      <w:pPr>
        <w:rPr>
          <w:rFonts w:cs="Arial"/>
        </w:rPr>
      </w:pPr>
      <w:r w:rsidRPr="006A6CE3">
        <w:rPr>
          <w:rFonts w:cs="Arial"/>
          <w:color w:val="000000"/>
          <w:lang w:eastAsia="en-GB"/>
        </w:rPr>
        <w:t>Alternative approaches to undertaking a structured assessment of an organisation</w:t>
      </w:r>
      <w:r w:rsidRPr="006A6CE3">
        <w:rPr>
          <w:rFonts w:cs="Arial"/>
        </w:rPr>
        <w:t xml:space="preserve">’s environmental performance are available from the </w:t>
      </w:r>
      <w:hyperlink r:id="rId28" w:history="1">
        <w:r w:rsidRPr="006A6CE3">
          <w:rPr>
            <w:rStyle w:val="Hyperlink"/>
            <w:rFonts w:cs="Arial"/>
            <w:szCs w:val="24"/>
          </w:rPr>
          <w:t>Global Reporting Initiative / UNEP</w:t>
        </w:r>
      </w:hyperlink>
      <w:r w:rsidRPr="006A6CE3">
        <w:rPr>
          <w:rFonts w:cs="Arial"/>
        </w:rPr>
        <w:t xml:space="preserve">  or from the World Business Council for Sustainable Development </w:t>
      </w:r>
      <w:hyperlink r:id="rId29" w:history="1">
        <w:r w:rsidRPr="006A6CE3">
          <w:rPr>
            <w:rStyle w:val="Hyperlink"/>
            <w:rFonts w:cs="Arial"/>
            <w:szCs w:val="24"/>
          </w:rPr>
          <w:t>Corporate Ecosystem Valuations</w:t>
        </w:r>
      </w:hyperlink>
      <w:r w:rsidRPr="006A6CE3">
        <w:rPr>
          <w:rFonts w:cs="Arial"/>
        </w:rPr>
        <w:t>.</w:t>
      </w:r>
    </w:p>
    <w:p w:rsidR="00913351" w:rsidRPr="006A6CE3" w:rsidRDefault="00913351" w:rsidP="00E204D9">
      <w:pPr>
        <w:pStyle w:val="NoSpacing"/>
        <w:rPr>
          <w:rFonts w:ascii="Arial" w:hAnsi="Arial" w:cs="Arial"/>
          <w:szCs w:val="24"/>
        </w:rPr>
      </w:pPr>
    </w:p>
    <w:p w:rsidR="00913351" w:rsidRPr="00D4286B" w:rsidRDefault="00913351" w:rsidP="00BE3068">
      <w:pPr>
        <w:pStyle w:val="Heading2"/>
      </w:pPr>
      <w:bookmarkStart w:id="41" w:name="_Toc358060201"/>
      <w:bookmarkStart w:id="42" w:name="_Toc358302245"/>
      <w:bookmarkStart w:id="43" w:name="_Toc380763537"/>
      <w:r w:rsidRPr="00D4286B">
        <w:t>Step 5: Reporting</w:t>
      </w:r>
      <w:bookmarkEnd w:id="41"/>
      <w:bookmarkEnd w:id="42"/>
      <w:bookmarkEnd w:id="43"/>
    </w:p>
    <w:p w:rsidR="00913351" w:rsidRPr="006A6CE3" w:rsidRDefault="00913351" w:rsidP="00BE0A76">
      <w:pPr>
        <w:rPr>
          <w:rFonts w:cs="Arial"/>
        </w:rPr>
      </w:pPr>
      <w:r w:rsidRPr="006A6CE3">
        <w:rPr>
          <w:rFonts w:cs="Arial"/>
          <w:lang w:eastAsia="en-GB"/>
        </w:rPr>
        <w:t xml:space="preserve">Transparency is essential to producing a credible report. </w:t>
      </w:r>
      <w:r w:rsidRPr="006A6CE3">
        <w:rPr>
          <w:rFonts w:cs="Arial"/>
        </w:rPr>
        <w:t>You should present your information in a balanced and transparent fashion. Celebrate success but also avoid glossing over negative environmental impacts or poor performance against targets.</w:t>
      </w:r>
    </w:p>
    <w:p w:rsidR="00913351" w:rsidRPr="006A6CE3" w:rsidRDefault="00913351" w:rsidP="0086258B">
      <w:pPr>
        <w:numPr>
          <w:ilvl w:val="0"/>
          <w:numId w:val="71"/>
        </w:numPr>
        <w:rPr>
          <w:rFonts w:cs="Arial"/>
        </w:rPr>
      </w:pPr>
      <w:r w:rsidRPr="006A6CE3">
        <w:rPr>
          <w:rFonts w:cs="Arial"/>
        </w:rPr>
        <w:t xml:space="preserve">Your report should summarise how you have carried out each of the steps listed above and the outcome from each. </w:t>
      </w:r>
    </w:p>
    <w:p w:rsidR="00913351" w:rsidRPr="006A6CE3" w:rsidRDefault="00913351" w:rsidP="00BE0A76">
      <w:pPr>
        <w:rPr>
          <w:rFonts w:cs="Arial"/>
          <w:szCs w:val="24"/>
          <w:lang w:eastAsia="en-GB"/>
        </w:rPr>
      </w:pPr>
      <w:r w:rsidRPr="006A6CE3">
        <w:rPr>
          <w:rFonts w:cs="Arial"/>
          <w:szCs w:val="24"/>
          <w:lang w:eastAsia="en-GB"/>
        </w:rPr>
        <w:t>Be clear about:</w:t>
      </w:r>
    </w:p>
    <w:p w:rsidR="00913351" w:rsidRPr="006A6CE3" w:rsidRDefault="00913351" w:rsidP="0086258B">
      <w:pPr>
        <w:numPr>
          <w:ilvl w:val="0"/>
          <w:numId w:val="31"/>
        </w:numPr>
        <w:rPr>
          <w:rFonts w:cs="Arial"/>
          <w:szCs w:val="24"/>
          <w:lang w:eastAsia="en-GB"/>
        </w:rPr>
      </w:pPr>
      <w:r w:rsidRPr="006A6CE3">
        <w:rPr>
          <w:rFonts w:cs="Arial"/>
          <w:szCs w:val="24"/>
          <w:lang w:eastAsia="en-GB"/>
        </w:rPr>
        <w:t>why you have collected the data;</w:t>
      </w:r>
    </w:p>
    <w:p w:rsidR="00913351" w:rsidRPr="006A6CE3" w:rsidRDefault="00913351" w:rsidP="0086258B">
      <w:pPr>
        <w:numPr>
          <w:ilvl w:val="0"/>
          <w:numId w:val="31"/>
        </w:numPr>
        <w:rPr>
          <w:rFonts w:cs="Arial"/>
          <w:szCs w:val="24"/>
          <w:lang w:eastAsia="en-GB"/>
        </w:rPr>
      </w:pPr>
      <w:r w:rsidRPr="006A6CE3">
        <w:rPr>
          <w:rFonts w:cs="Arial"/>
          <w:szCs w:val="24"/>
          <w:lang w:eastAsia="en-GB"/>
        </w:rPr>
        <w:t>how you have gone about it, such as the assumptions, methodologies, and reference data used;</w:t>
      </w:r>
    </w:p>
    <w:p w:rsidR="00913351" w:rsidRPr="006A6CE3" w:rsidRDefault="00913351" w:rsidP="0086258B">
      <w:pPr>
        <w:numPr>
          <w:ilvl w:val="0"/>
          <w:numId w:val="31"/>
        </w:numPr>
        <w:rPr>
          <w:rFonts w:cs="Arial"/>
        </w:rPr>
      </w:pPr>
      <w:proofErr w:type="gramStart"/>
      <w:r w:rsidRPr="006A6CE3">
        <w:rPr>
          <w:rFonts w:cs="Arial"/>
          <w:szCs w:val="24"/>
          <w:lang w:eastAsia="en-GB"/>
        </w:rPr>
        <w:t>to</w:t>
      </w:r>
      <w:proofErr w:type="gramEnd"/>
      <w:r w:rsidRPr="006A6CE3">
        <w:rPr>
          <w:rFonts w:cs="Arial"/>
          <w:szCs w:val="24"/>
          <w:lang w:eastAsia="en-GB"/>
        </w:rPr>
        <w:t xml:space="preserve"> which parts of your organisation the data relates. </w:t>
      </w:r>
    </w:p>
    <w:p w:rsidR="00913351" w:rsidRPr="006A6CE3" w:rsidRDefault="00913351" w:rsidP="00BE0A76">
      <w:pPr>
        <w:rPr>
          <w:rFonts w:cs="Arial"/>
        </w:rPr>
      </w:pPr>
      <w:r w:rsidRPr="006A6CE3">
        <w:rPr>
          <w:rFonts w:cs="Arial"/>
        </w:rPr>
        <w:lastRenderedPageBreak/>
        <w:t xml:space="preserve">You should explain if you are not reporting data for some sources of environmental impacts within your chosen reporting boundary, whether they are from a geographical area, type of equipment or activity. </w:t>
      </w:r>
    </w:p>
    <w:p w:rsidR="00913351" w:rsidRPr="006A6CE3" w:rsidRDefault="00913351" w:rsidP="00BE0A76">
      <w:pPr>
        <w:rPr>
          <w:rFonts w:cs="Arial"/>
        </w:rPr>
      </w:pPr>
      <w:r w:rsidRPr="006A6CE3">
        <w:rPr>
          <w:rFonts w:cs="Arial"/>
        </w:rPr>
        <w:t xml:space="preserve">Trends in impacts should be clear to the reader. Use units consistently.  </w:t>
      </w:r>
    </w:p>
    <w:p w:rsidR="00913351" w:rsidRPr="006A6CE3" w:rsidRDefault="00913351" w:rsidP="00BE0A76">
      <w:pPr>
        <w:rPr>
          <w:rFonts w:cs="Arial"/>
          <w:szCs w:val="24"/>
        </w:rPr>
      </w:pPr>
      <w:r w:rsidRPr="006A6CE3">
        <w:rPr>
          <w:rFonts w:cs="Arial"/>
          <w:szCs w:val="24"/>
        </w:rPr>
        <w:t>Give:</w:t>
      </w:r>
    </w:p>
    <w:p w:rsidR="00913351" w:rsidRPr="006A6CE3" w:rsidRDefault="00913351" w:rsidP="0086258B">
      <w:pPr>
        <w:numPr>
          <w:ilvl w:val="0"/>
          <w:numId w:val="32"/>
        </w:numPr>
        <w:rPr>
          <w:rFonts w:cs="Arial"/>
          <w:szCs w:val="24"/>
          <w:lang w:eastAsia="en-GB"/>
        </w:rPr>
      </w:pPr>
      <w:r w:rsidRPr="006A6CE3">
        <w:rPr>
          <w:rFonts w:cs="Arial"/>
          <w:szCs w:val="24"/>
        </w:rPr>
        <w:t xml:space="preserve">progress against targets, whether improvements or set-backs have occurred and how these are being tackled; </w:t>
      </w:r>
    </w:p>
    <w:p w:rsidR="00913351" w:rsidRPr="006A6CE3" w:rsidRDefault="00913351" w:rsidP="0086258B">
      <w:pPr>
        <w:numPr>
          <w:ilvl w:val="0"/>
          <w:numId w:val="32"/>
        </w:numPr>
        <w:rPr>
          <w:rFonts w:cs="Arial"/>
          <w:szCs w:val="24"/>
          <w:lang w:eastAsia="en-GB"/>
        </w:rPr>
      </w:pPr>
      <w:proofErr w:type="gramStart"/>
      <w:r w:rsidRPr="006A6CE3">
        <w:rPr>
          <w:rFonts w:cs="Arial"/>
          <w:szCs w:val="24"/>
        </w:rPr>
        <w:t>information</w:t>
      </w:r>
      <w:proofErr w:type="gramEnd"/>
      <w:r w:rsidRPr="006A6CE3">
        <w:rPr>
          <w:rFonts w:cs="Arial"/>
          <w:szCs w:val="24"/>
        </w:rPr>
        <w:t xml:space="preserve"> relating environmental performance to financial performance. This should include environmental expenditures, e.g. </w:t>
      </w:r>
      <w:r w:rsidRPr="006A6CE3">
        <w:rPr>
          <w:rFonts w:cs="Arial"/>
        </w:rPr>
        <w:t>more efficient production processes, recycling facilities, the reclamation/ rehabilitation of land to a more natural state, or investment in projects in the local community</w:t>
      </w:r>
      <w:r w:rsidRPr="006A6CE3">
        <w:rPr>
          <w:rFonts w:cs="Arial"/>
          <w:szCs w:val="24"/>
        </w:rPr>
        <w:t xml:space="preserve">. </w:t>
      </w:r>
    </w:p>
    <w:p w:rsidR="00913351" w:rsidRPr="006A6CE3" w:rsidRDefault="00913351" w:rsidP="0086258B">
      <w:pPr>
        <w:numPr>
          <w:ilvl w:val="0"/>
          <w:numId w:val="33"/>
        </w:numPr>
        <w:spacing w:before="200" w:after="200"/>
        <w:rPr>
          <w:rFonts w:cs="Arial"/>
          <w:szCs w:val="24"/>
        </w:rPr>
      </w:pPr>
      <w:r w:rsidRPr="006A6CE3">
        <w:rPr>
          <w:rFonts w:cs="Arial"/>
          <w:szCs w:val="24"/>
        </w:rPr>
        <w:t>Explain how you are managing your impacts i.e. EMAS, ISO 14001 and who has responsibility for this.</w:t>
      </w:r>
    </w:p>
    <w:p w:rsidR="00BE0A76" w:rsidRPr="006A6CE3" w:rsidRDefault="00913351" w:rsidP="0086258B">
      <w:pPr>
        <w:numPr>
          <w:ilvl w:val="0"/>
          <w:numId w:val="33"/>
        </w:numPr>
        <w:spacing w:before="200" w:after="200"/>
        <w:rPr>
          <w:rFonts w:cs="Arial"/>
        </w:rPr>
      </w:pPr>
      <w:r w:rsidRPr="006A6CE3">
        <w:rPr>
          <w:rFonts w:cs="Arial"/>
          <w:szCs w:val="24"/>
        </w:rPr>
        <w:t>Identify the risks and opportu</w:t>
      </w:r>
      <w:r w:rsidRPr="006A6CE3">
        <w:rPr>
          <w:rFonts w:cs="Arial"/>
          <w:szCs w:val="24"/>
          <w:lang w:eastAsia="en-GB"/>
        </w:rPr>
        <w:t>n</w:t>
      </w:r>
      <w:r w:rsidRPr="006A6CE3">
        <w:rPr>
          <w:rFonts w:cs="Arial"/>
        </w:rPr>
        <w:t>ities that arise from your impact on the environment and from the environment’s impact on you through, for example, climate change. Be clear whether your organisation has been subject to any environmental fines. The date, location, reason and amount of fine should be stated.</w:t>
      </w:r>
    </w:p>
    <w:p w:rsidR="00913351" w:rsidRPr="006A6CE3" w:rsidRDefault="00913351" w:rsidP="0086258B">
      <w:pPr>
        <w:numPr>
          <w:ilvl w:val="0"/>
          <w:numId w:val="33"/>
        </w:numPr>
        <w:spacing w:before="200" w:after="200"/>
        <w:rPr>
          <w:rFonts w:cs="Arial"/>
        </w:rPr>
      </w:pPr>
      <w:r w:rsidRPr="006A6CE3">
        <w:rPr>
          <w:rFonts w:cs="Arial"/>
          <w:szCs w:val="24"/>
          <w:lang w:eastAsia="en-GB"/>
        </w:rPr>
        <w:t>Explain internal processes to manage and report risk. Develop a plan or strategy that addresses these risks and opp</w:t>
      </w:r>
      <w:r w:rsidRPr="006A6CE3">
        <w:rPr>
          <w:rFonts w:cs="Arial"/>
        </w:rPr>
        <w:t xml:space="preserve">ortunities and fits with your business strategy or is integrated with it and report on this plan.  Explain how the information you have gathered is used to support corporate decision making. Use case histories to illustrate your actions and approach. </w:t>
      </w:r>
    </w:p>
    <w:p w:rsidR="00913351" w:rsidRPr="002F6CDA" w:rsidRDefault="00913351" w:rsidP="002F6CDA">
      <w:pPr>
        <w:pStyle w:val="Heading2"/>
      </w:pPr>
      <w:bookmarkStart w:id="44" w:name="_Toc358302246"/>
      <w:bookmarkStart w:id="45" w:name="_Toc380763538"/>
      <w:bookmarkStart w:id="46" w:name="Action_i_intensity_ratios"/>
      <w:r w:rsidRPr="002F6CDA">
        <w:t>Action i: Intensity ratios/normalisation factors</w:t>
      </w:r>
      <w:bookmarkEnd w:id="44"/>
      <w:bookmarkEnd w:id="45"/>
    </w:p>
    <w:bookmarkEnd w:id="46"/>
    <w:p w:rsidR="00913351" w:rsidRPr="006A6CE3" w:rsidRDefault="00913351" w:rsidP="00BE0A76">
      <w:pPr>
        <w:rPr>
          <w:rFonts w:cs="Arial"/>
        </w:rPr>
      </w:pPr>
      <w:r w:rsidRPr="006A6CE3">
        <w:rPr>
          <w:rFonts w:cs="Arial"/>
        </w:rPr>
        <w:t xml:space="preserve">When presenting the detail of your KPIs, they should be expressed in absolute terms but it is also helpful if you use a normalising factor in reporting your data. </w:t>
      </w:r>
      <w:r w:rsidRPr="006A6CE3">
        <w:rPr>
          <w:rFonts w:cs="Arial"/>
          <w:lang w:eastAsia="en-GB"/>
        </w:rPr>
        <w:t xml:space="preserve">Environmental impacts data can be normalised by dividing the impact you are reporting on (whether tonnes of waste or emissions) by an appropriate activity metric (e.g. units produced, Full Time Equivalent staff) or financial metric (£ million turnover). The resulting normalised data is called an intensity ratio. </w:t>
      </w:r>
      <w:r w:rsidRPr="006A6CE3">
        <w:rPr>
          <w:rFonts w:cs="Arial"/>
        </w:rPr>
        <w:t xml:space="preserve">Two commonly used normalising factors are turnover and </w:t>
      </w:r>
      <w:r w:rsidRPr="006A6CE3">
        <w:rPr>
          <w:rFonts w:cs="Arial"/>
        </w:rPr>
        <w:lastRenderedPageBreak/>
        <w:t>production output; but there are others which may be relevant, for example companies with offices or retail operations may normalise to floor space.</w:t>
      </w:r>
    </w:p>
    <w:p w:rsidR="00913351" w:rsidRPr="006A6CE3" w:rsidRDefault="00913351" w:rsidP="00BE0A76">
      <w:pPr>
        <w:rPr>
          <w:rFonts w:cs="Arial"/>
          <w:lang w:eastAsia="en-GB"/>
        </w:rPr>
      </w:pPr>
      <w:r w:rsidRPr="006A6CE3">
        <w:rPr>
          <w:rFonts w:cs="Arial"/>
          <w:lang w:eastAsia="en-GB"/>
        </w:rPr>
        <w:t>Normalising your data is useful because it facilitates:</w:t>
      </w:r>
    </w:p>
    <w:p w:rsidR="00913351" w:rsidRPr="006A6CE3" w:rsidRDefault="00913351" w:rsidP="0086258B">
      <w:pPr>
        <w:numPr>
          <w:ilvl w:val="0"/>
          <w:numId w:val="34"/>
        </w:numPr>
        <w:rPr>
          <w:rFonts w:cs="Arial"/>
          <w:lang w:eastAsia="en-GB"/>
        </w:rPr>
      </w:pPr>
      <w:r w:rsidRPr="006A6CE3">
        <w:rPr>
          <w:rFonts w:cs="Arial"/>
          <w:lang w:eastAsia="en-GB"/>
        </w:rPr>
        <w:t>Comparison over time</w:t>
      </w:r>
    </w:p>
    <w:p w:rsidR="00913351" w:rsidRPr="006A6CE3" w:rsidRDefault="00913351" w:rsidP="0086258B">
      <w:pPr>
        <w:numPr>
          <w:ilvl w:val="0"/>
          <w:numId w:val="34"/>
        </w:numPr>
        <w:rPr>
          <w:rFonts w:cs="Arial"/>
          <w:lang w:eastAsia="en-GB"/>
        </w:rPr>
      </w:pPr>
      <w:r w:rsidRPr="006A6CE3">
        <w:rPr>
          <w:rFonts w:cs="Arial"/>
          <w:lang w:eastAsia="en-GB"/>
        </w:rPr>
        <w:t>Comparison across different organisation sectors and products</w:t>
      </w:r>
    </w:p>
    <w:p w:rsidR="00913351" w:rsidRPr="006A6CE3" w:rsidRDefault="00913351" w:rsidP="00BE0A76">
      <w:pPr>
        <w:rPr>
          <w:rFonts w:cs="Arial"/>
          <w:color w:val="000000"/>
        </w:rPr>
      </w:pPr>
      <w:r w:rsidRPr="006A6CE3">
        <w:rPr>
          <w:rFonts w:cs="Arial"/>
        </w:rPr>
        <w:t xml:space="preserve">This </w:t>
      </w:r>
      <w:r w:rsidRPr="006A6CE3">
        <w:rPr>
          <w:rFonts w:cs="Arial"/>
          <w:color w:val="000000"/>
        </w:rPr>
        <w:t xml:space="preserve">allows stakeholders to know how much environmental impact companies have relative to a given amount of goods and/or services produced. </w:t>
      </w:r>
      <w:r w:rsidRPr="006A6CE3">
        <w:rPr>
          <w:rFonts w:cs="Arial"/>
        </w:rPr>
        <w:t>Normalised data can be particularly helpful in demonstrating environmental improvements in a growing organisation</w:t>
      </w:r>
      <w:r w:rsidRPr="006A6CE3">
        <w:rPr>
          <w:rFonts w:cs="Arial"/>
          <w:color w:val="000000"/>
        </w:rPr>
        <w:t xml:space="preserve">. </w:t>
      </w:r>
    </w:p>
    <w:p w:rsidR="00913351" w:rsidRPr="006A6CE3" w:rsidRDefault="00913351" w:rsidP="00BE0A76">
      <w:pPr>
        <w:rPr>
          <w:rFonts w:cs="Arial"/>
          <w:lang w:eastAsia="en-GB"/>
        </w:rPr>
      </w:pPr>
      <w:r w:rsidRPr="006A6CE3">
        <w:rPr>
          <w:rFonts w:cs="Arial"/>
          <w:lang w:eastAsia="en-GB"/>
        </w:rPr>
        <w:t xml:space="preserve">An activity ratio is suitable when aggregating or comparing across organisations that have similar products. A financial ratio is suitable when aggregating or comparing across organisations that produce different products. We recommend you use the intensity ratio that is most relevant to your organisation and will provide the most </w:t>
      </w:r>
      <w:proofErr w:type="gramStart"/>
      <w:r w:rsidRPr="006A6CE3">
        <w:rPr>
          <w:rFonts w:cs="Arial"/>
          <w:lang w:eastAsia="en-GB"/>
        </w:rPr>
        <w:t>context</w:t>
      </w:r>
      <w:proofErr w:type="gramEnd"/>
      <w:r w:rsidRPr="006A6CE3">
        <w:rPr>
          <w:rFonts w:cs="Arial"/>
          <w:lang w:eastAsia="en-GB"/>
        </w:rPr>
        <w:t xml:space="preserve"> to users of this information. If your organisation has many varied organisational operations e.g. a travel company which owns its own planes and also owns its hotels you should consider calculating separate activity ratios for each activity i.e. one for the planes and one for the hotels.</w:t>
      </w:r>
    </w:p>
    <w:p w:rsidR="00913351" w:rsidRPr="006A6CE3" w:rsidRDefault="00913351" w:rsidP="00BE0A76">
      <w:pPr>
        <w:rPr>
          <w:rFonts w:cs="Arial"/>
        </w:rPr>
      </w:pPr>
      <w:r w:rsidRPr="006A6CE3">
        <w:rPr>
          <w:rFonts w:cs="Arial"/>
        </w:rPr>
        <w:t xml:space="preserve">When reporting, the simplest method is to present data on a clear and transparent like-for-like basis.  So if the product lines are much the same and output has increased, then a normalised approach, with the factor in number of units or weight, as appropriate, will be sufficient especially if backed up with absolute figures in order to understand the scale of the impact as well as the direction of change. If a ‘value of output’ measure has to be used, then it should be a volume measure (i.e. adjusted for relevant price changes).  </w:t>
      </w:r>
    </w:p>
    <w:p w:rsidR="00913351" w:rsidRPr="002F6CDA" w:rsidRDefault="00913351" w:rsidP="002F6CDA">
      <w:pPr>
        <w:pStyle w:val="Heading2"/>
      </w:pPr>
      <w:bookmarkStart w:id="47" w:name="_Toc358302247"/>
      <w:bookmarkStart w:id="48" w:name="_Toc380763539"/>
      <w:r w:rsidRPr="002F6CDA">
        <w:t>Action ii: Setting a base year</w:t>
      </w:r>
      <w:bookmarkEnd w:id="47"/>
      <w:bookmarkEnd w:id="48"/>
    </w:p>
    <w:p w:rsidR="00913351" w:rsidRPr="006A6CE3" w:rsidRDefault="00913351" w:rsidP="002F6CDA">
      <w:pPr>
        <w:rPr>
          <w:rFonts w:cs="Arial"/>
        </w:rPr>
      </w:pPr>
      <w:r w:rsidRPr="006A6CE3">
        <w:rPr>
          <w:rFonts w:cs="Arial"/>
          <w:lang w:eastAsia="en-GB"/>
        </w:rPr>
        <w:t xml:space="preserve">To maintain meaningful and consistent comparison of your data and KPIs over time, you will need to set targets and choose and report on a base year.  </w:t>
      </w:r>
      <w:r w:rsidRPr="006A6CE3">
        <w:rPr>
          <w:rFonts w:cs="Arial"/>
        </w:rPr>
        <w:t xml:space="preserve">A base year gives you a point against which you can compare your current </w:t>
      </w:r>
      <w:r w:rsidR="00E01217" w:rsidRPr="006A6CE3">
        <w:rPr>
          <w:rFonts w:cs="Arial"/>
        </w:rPr>
        <w:lastRenderedPageBreak/>
        <w:t>d</w:t>
      </w:r>
      <w:r w:rsidRPr="006A6CE3">
        <w:rPr>
          <w:rFonts w:cs="Arial"/>
        </w:rPr>
        <w:t xml:space="preserve">ata and you should choose the earliest year for which you have data.  </w:t>
      </w:r>
      <w:r w:rsidRPr="006A6CE3">
        <w:rPr>
          <w:rFonts w:cs="Arial"/>
          <w:color w:val="FFFFFF"/>
        </w:rPr>
        <w:t xml:space="preserve"> </w:t>
      </w:r>
      <w:r w:rsidRPr="006A6CE3">
        <w:rPr>
          <w:rFonts w:cs="Arial"/>
        </w:rPr>
        <w:t>Your base year may be</w:t>
      </w:r>
      <w:r w:rsidRPr="006A6CE3">
        <w:rPr>
          <w:rStyle w:val="FootnoteReference"/>
          <w:rFonts w:cs="Arial"/>
        </w:rPr>
        <w:footnoteReference w:id="13"/>
      </w:r>
      <w:r w:rsidRPr="006A6CE3">
        <w:rPr>
          <w:rFonts w:cs="Arial"/>
        </w:rPr>
        <w:t>:</w:t>
      </w:r>
    </w:p>
    <w:p w:rsidR="00913351" w:rsidRPr="006A6CE3" w:rsidRDefault="00913351" w:rsidP="0086258B">
      <w:pPr>
        <w:numPr>
          <w:ilvl w:val="0"/>
          <w:numId w:val="35"/>
        </w:numPr>
        <w:rPr>
          <w:rFonts w:cs="Arial"/>
        </w:rPr>
      </w:pPr>
      <w:r w:rsidRPr="006A6CE3">
        <w:rPr>
          <w:rFonts w:cs="Arial"/>
        </w:rPr>
        <w:t>a fixed or single base year</w:t>
      </w:r>
    </w:p>
    <w:p w:rsidR="00913351" w:rsidRPr="006A6CE3" w:rsidRDefault="00913351" w:rsidP="0086258B">
      <w:pPr>
        <w:numPr>
          <w:ilvl w:val="0"/>
          <w:numId w:val="35"/>
        </w:numPr>
        <w:spacing w:before="0" w:after="0" w:line="240" w:lineRule="auto"/>
        <w:rPr>
          <w:rFonts w:cs="Arial"/>
        </w:rPr>
      </w:pPr>
      <w:r w:rsidRPr="006A6CE3">
        <w:rPr>
          <w:rFonts w:cs="Arial"/>
        </w:rPr>
        <w:t>an average of a range of years in order to smooth out year-on-year fluctuations</w:t>
      </w:r>
    </w:p>
    <w:p w:rsidR="00913351" w:rsidRPr="006A6CE3" w:rsidRDefault="00913351" w:rsidP="0086258B">
      <w:pPr>
        <w:numPr>
          <w:ilvl w:val="0"/>
          <w:numId w:val="35"/>
        </w:numPr>
        <w:spacing w:before="0" w:after="0" w:line="240" w:lineRule="auto"/>
        <w:rPr>
          <w:rFonts w:cs="Arial"/>
        </w:rPr>
      </w:pPr>
      <w:r w:rsidRPr="006A6CE3">
        <w:rPr>
          <w:rFonts w:cs="Arial"/>
        </w:rPr>
        <w:t>a rolling base year</w:t>
      </w:r>
    </w:p>
    <w:p w:rsidR="00913351" w:rsidRPr="006A6CE3" w:rsidRDefault="00913351" w:rsidP="00D21F1A">
      <w:pPr>
        <w:rPr>
          <w:rFonts w:cs="Arial"/>
        </w:rPr>
      </w:pPr>
      <w:r w:rsidRPr="006A6CE3">
        <w:rPr>
          <w:rFonts w:cs="Arial"/>
        </w:rPr>
        <w:t xml:space="preserve">A base year is an important benchmark and you should explain the reasons behind your choice. It is recommended that if you set a fixed base year, you also determine your base year recalculation policy.  The following are instances when you might need to recalculate a single base year: </w:t>
      </w:r>
    </w:p>
    <w:p w:rsidR="00913351" w:rsidRPr="006A6CE3" w:rsidRDefault="00913351" w:rsidP="00D21F1A">
      <w:pPr>
        <w:rPr>
          <w:rFonts w:cs="Arial"/>
        </w:rPr>
      </w:pPr>
      <w:proofErr w:type="gramStart"/>
      <w:r w:rsidRPr="006A6CE3">
        <w:rPr>
          <w:rFonts w:cs="Arial"/>
        </w:rPr>
        <w:t>Structural changes that have a significant impact on the organisation’s base year figures, such as the transfer of ownership or control of relevant activities or operations from your organisation to another.</w:t>
      </w:r>
      <w:proofErr w:type="gramEnd"/>
      <w:r w:rsidRPr="006A6CE3">
        <w:rPr>
          <w:rFonts w:cs="Arial"/>
        </w:rPr>
        <w:t xml:space="preserve">  While a single structural change might not have a significant impact on the base year figure, the cumulative effect of a number of minor structural changes can result in a significant impact. Structural changes include:</w:t>
      </w:r>
    </w:p>
    <w:p w:rsidR="00913351" w:rsidRPr="006A6CE3" w:rsidRDefault="00913351" w:rsidP="0086258B">
      <w:pPr>
        <w:numPr>
          <w:ilvl w:val="0"/>
          <w:numId w:val="36"/>
        </w:numPr>
        <w:rPr>
          <w:rFonts w:cs="Arial"/>
        </w:rPr>
      </w:pPr>
      <w:r w:rsidRPr="006A6CE3">
        <w:rPr>
          <w:rFonts w:cs="Arial"/>
        </w:rPr>
        <w:t>Mergers, acquisitions, and divestments</w:t>
      </w:r>
    </w:p>
    <w:p w:rsidR="00913351" w:rsidRPr="006A6CE3" w:rsidRDefault="00913351" w:rsidP="0086258B">
      <w:pPr>
        <w:numPr>
          <w:ilvl w:val="0"/>
          <w:numId w:val="36"/>
        </w:numPr>
        <w:rPr>
          <w:rFonts w:cs="Arial"/>
        </w:rPr>
      </w:pPr>
      <w:r w:rsidRPr="006A6CE3">
        <w:rPr>
          <w:rFonts w:cs="Arial"/>
        </w:rPr>
        <w:t>Outsourcing and insourcing of relevant activities</w:t>
      </w:r>
    </w:p>
    <w:p w:rsidR="00913351" w:rsidRPr="006A6CE3" w:rsidRDefault="00913351" w:rsidP="0086258B">
      <w:pPr>
        <w:numPr>
          <w:ilvl w:val="0"/>
          <w:numId w:val="36"/>
        </w:numPr>
        <w:rPr>
          <w:rFonts w:cs="Arial"/>
          <w:szCs w:val="24"/>
          <w:lang w:eastAsia="en-GB"/>
        </w:rPr>
      </w:pPr>
      <w:r w:rsidRPr="006A6CE3">
        <w:rPr>
          <w:rFonts w:cs="Arial"/>
        </w:rPr>
        <w:t>Changes in calculation methods or improvements in the accuracy of factors, such as emission factors, or activity data that result in a significant impact on the base year figures.</w:t>
      </w:r>
    </w:p>
    <w:p w:rsidR="00913351" w:rsidRPr="006A6CE3" w:rsidRDefault="00913351" w:rsidP="0086258B">
      <w:pPr>
        <w:numPr>
          <w:ilvl w:val="0"/>
          <w:numId w:val="36"/>
        </w:numPr>
        <w:rPr>
          <w:rFonts w:cs="Arial"/>
        </w:rPr>
      </w:pPr>
      <w:r w:rsidRPr="006A6CE3">
        <w:rPr>
          <w:rFonts w:cs="Arial"/>
        </w:rPr>
        <w:t>Discovery of significant errors, or a n</w:t>
      </w:r>
      <w:r w:rsidR="00D21F1A" w:rsidRPr="006A6CE3">
        <w:rPr>
          <w:rFonts w:cs="Arial"/>
        </w:rPr>
        <w:t xml:space="preserve">umber of cumulative errors </w:t>
      </w:r>
      <w:proofErr w:type="gramStart"/>
      <w:r w:rsidR="00D21F1A" w:rsidRPr="006A6CE3">
        <w:rPr>
          <w:rFonts w:cs="Arial"/>
        </w:rPr>
        <w:t>that a</w:t>
      </w:r>
      <w:r w:rsidRPr="006A6CE3">
        <w:rPr>
          <w:rFonts w:cs="Arial"/>
        </w:rPr>
        <w:t>re</w:t>
      </w:r>
      <w:proofErr w:type="gramEnd"/>
      <w:r w:rsidRPr="006A6CE3">
        <w:rPr>
          <w:rFonts w:cs="Arial"/>
        </w:rPr>
        <w:t xml:space="preserve"> collectively significant.</w:t>
      </w:r>
    </w:p>
    <w:p w:rsidR="00913351" w:rsidRPr="006A6CE3" w:rsidRDefault="00913351" w:rsidP="00D21F1A">
      <w:pPr>
        <w:rPr>
          <w:rFonts w:cs="Arial"/>
          <w:b/>
          <w:color w:val="76923C"/>
          <w:sz w:val="28"/>
          <w:szCs w:val="28"/>
        </w:rPr>
      </w:pPr>
      <w:r w:rsidRPr="006A6CE3">
        <w:rPr>
          <w:rFonts w:cs="Arial"/>
          <w:b/>
          <w:color w:val="76923C"/>
          <w:sz w:val="28"/>
          <w:szCs w:val="28"/>
        </w:rPr>
        <w:t>Develop a base year recalculation policy</w:t>
      </w:r>
    </w:p>
    <w:p w:rsidR="00913351" w:rsidRPr="006A6CE3" w:rsidRDefault="00913351" w:rsidP="00D21F1A">
      <w:pPr>
        <w:rPr>
          <w:rFonts w:cs="Arial"/>
        </w:rPr>
      </w:pPr>
      <w:r w:rsidRPr="006A6CE3">
        <w:rPr>
          <w:rFonts w:cs="Arial"/>
        </w:rPr>
        <w:t xml:space="preserve">You will probably not want to recalculate your fixed base year to take account of every change in circumstances. So you will need to determine your policy and set a threshold over which a recalculation is triggered under different scenarios. In determining your threshold for the different scenarios, you </w:t>
      </w:r>
      <w:r w:rsidRPr="006A6CE3">
        <w:rPr>
          <w:rFonts w:cs="Arial"/>
        </w:rPr>
        <w:lastRenderedPageBreak/>
        <w:t xml:space="preserve">should take into account the cumulative effect on your base year figure of different changes.  You may wish to recalculate data for all years between the base year and the reporting year or just the prior year and the reporting year following a base year recalculation.  </w:t>
      </w:r>
    </w:p>
    <w:p w:rsidR="00913351" w:rsidRPr="006A6CE3" w:rsidRDefault="00913351" w:rsidP="00D21F1A">
      <w:pPr>
        <w:rPr>
          <w:rFonts w:cs="Arial"/>
        </w:rPr>
      </w:pPr>
      <w:r w:rsidRPr="006A6CE3">
        <w:rPr>
          <w:rFonts w:cs="Arial"/>
        </w:rPr>
        <w:t xml:space="preserve">In some circumstances, it may be simpler to roll your base year forward to your current reporting year following very large structural changes or mergers.  </w:t>
      </w:r>
    </w:p>
    <w:p w:rsidR="00913351" w:rsidRPr="006A6CE3" w:rsidRDefault="00913351" w:rsidP="00D21F1A">
      <w:pPr>
        <w:rPr>
          <w:rFonts w:cs="Arial"/>
        </w:rPr>
      </w:pPr>
      <w:r w:rsidRPr="006A6CE3">
        <w:rPr>
          <w:rFonts w:cs="Arial"/>
          <w:szCs w:val="24"/>
          <w:lang w:eastAsia="en-GB"/>
        </w:rPr>
        <w:t>Once your organisation has developed its policy on how it will recalculate base year figures for your KPIs, you should apply this policy in a consistent manner.</w:t>
      </w:r>
    </w:p>
    <w:p w:rsidR="00913351" w:rsidRPr="006A6CE3" w:rsidRDefault="00913351" w:rsidP="00D21F1A">
      <w:pPr>
        <w:rPr>
          <w:rFonts w:cs="Arial"/>
          <w:b/>
          <w:color w:val="76923C"/>
          <w:sz w:val="28"/>
          <w:szCs w:val="28"/>
        </w:rPr>
      </w:pPr>
      <w:r w:rsidRPr="006A6CE3">
        <w:rPr>
          <w:rFonts w:cs="Arial"/>
          <w:b/>
          <w:color w:val="76923C"/>
          <w:sz w:val="28"/>
          <w:szCs w:val="28"/>
        </w:rPr>
        <w:t>Determine whether the base year needs to be recalculated</w:t>
      </w:r>
    </w:p>
    <w:p w:rsidR="00913351" w:rsidRPr="006A6CE3" w:rsidRDefault="00913351" w:rsidP="00D21F1A">
      <w:pPr>
        <w:rPr>
          <w:rFonts w:cs="Arial"/>
          <w:lang w:eastAsia="en-GB"/>
        </w:rPr>
      </w:pPr>
      <w:r w:rsidRPr="006A6CE3">
        <w:rPr>
          <w:rFonts w:cs="Arial"/>
          <w:lang w:eastAsia="en-GB"/>
        </w:rPr>
        <w:t xml:space="preserve">Update your base year in line with the criteria below and when the changes meet your significance threshold. </w:t>
      </w:r>
    </w:p>
    <w:p w:rsidR="00913351" w:rsidRPr="006A6CE3" w:rsidRDefault="00913351" w:rsidP="00D21F1A">
      <w:pPr>
        <w:rPr>
          <w:rFonts w:cs="Arial"/>
        </w:rPr>
      </w:pPr>
      <w:r w:rsidRPr="006A6CE3">
        <w:rPr>
          <w:rFonts w:cs="Arial"/>
        </w:rPr>
        <w:t xml:space="preserve">If you acquire a facility which existed in your base year, recalculate your base year if the emissions were not included in your base year figures and will be included in your current year’s figures. For outsourcing, recalculate your base if the figures from the outsourced activity were included in your base year figures and will not be included anywhere in your current year’s figures.  If you acquire/dispose of a facility from another company, you recalculate your base year to include/exclude respectively the figures from the new facility at the level they were in your base year.  </w:t>
      </w:r>
    </w:p>
    <w:p w:rsidR="00913351" w:rsidRPr="006A6CE3" w:rsidRDefault="00913351" w:rsidP="00D21F1A">
      <w:pPr>
        <w:rPr>
          <w:rFonts w:cs="Arial"/>
          <w:lang w:eastAsia="en-GB"/>
        </w:rPr>
      </w:pPr>
      <w:r w:rsidRPr="006A6CE3">
        <w:rPr>
          <w:rFonts w:cs="Arial"/>
          <w:lang w:eastAsia="en-GB"/>
        </w:rPr>
        <w:t>You should not recalculate your base year where you acquire (or insource) and divest (or outsource) operations that did not exist in your base year.</w:t>
      </w:r>
    </w:p>
    <w:p w:rsidR="00913351" w:rsidRPr="006A6CE3" w:rsidRDefault="00913351" w:rsidP="00D21F1A">
      <w:pPr>
        <w:rPr>
          <w:rFonts w:cs="Arial"/>
        </w:rPr>
      </w:pPr>
      <w:r w:rsidRPr="006A6CE3">
        <w:rPr>
          <w:rFonts w:cs="Arial"/>
        </w:rPr>
        <w:t xml:space="preserve">Transfer of ownership/ control of relevant activities, including changes in leased status, should be treated in the same way as acquisitions and disposals. </w:t>
      </w:r>
    </w:p>
    <w:p w:rsidR="00913351" w:rsidRPr="006A6CE3" w:rsidRDefault="00913351" w:rsidP="00D21F1A">
      <w:pPr>
        <w:rPr>
          <w:rFonts w:cs="Arial"/>
          <w:lang w:eastAsia="en-GB"/>
        </w:rPr>
      </w:pPr>
      <w:r w:rsidRPr="006A6CE3">
        <w:rPr>
          <w:rFonts w:cs="Arial"/>
          <w:lang w:eastAsia="en-GB"/>
        </w:rPr>
        <w:t>You do not need to recalculate base year to take account of economic growth or decline, changes in production output or product mix, and closures and openings of operating units owned or controlled by your organisation.</w:t>
      </w:r>
    </w:p>
    <w:p w:rsidR="00913351" w:rsidRPr="006A6CE3" w:rsidRDefault="00913351" w:rsidP="00D21F1A">
      <w:pPr>
        <w:rPr>
          <w:rFonts w:cs="Arial"/>
        </w:rPr>
      </w:pPr>
      <w:r w:rsidRPr="006A6CE3">
        <w:rPr>
          <w:rFonts w:cs="Arial"/>
        </w:rPr>
        <w:t>Changes in methodologies, improvements in the accuracy, or discovery of previous errors would trigger a recalculation.</w:t>
      </w:r>
    </w:p>
    <w:p w:rsidR="00913351" w:rsidRPr="006A6CE3" w:rsidRDefault="00913351" w:rsidP="00D21F1A">
      <w:pPr>
        <w:rPr>
          <w:rFonts w:cs="Arial"/>
        </w:rPr>
      </w:pPr>
      <w:r w:rsidRPr="006A6CE3">
        <w:rPr>
          <w:rFonts w:cs="Arial"/>
        </w:rPr>
        <w:t xml:space="preserve">If a recalculation of the base year is required for a structural change which occurred in the middle of the reporting year, it is recommended that base year figures are recalculated for the entire year not just the period from the </w:t>
      </w:r>
      <w:r w:rsidRPr="006A6CE3">
        <w:rPr>
          <w:rFonts w:cs="Arial"/>
        </w:rPr>
        <w:lastRenderedPageBreak/>
        <w:t>structural change onwards.  If it is not possible to recalculate in that reporting year due to lack of data, recalculation can be carried out in the following year.</w:t>
      </w:r>
    </w:p>
    <w:p w:rsidR="00913351" w:rsidRPr="001D2F48" w:rsidRDefault="00913351" w:rsidP="002F6CDA">
      <w:pPr>
        <w:pStyle w:val="Heading2"/>
        <w:rPr>
          <w:lang w:eastAsia="en-GB"/>
        </w:rPr>
      </w:pPr>
      <w:bookmarkStart w:id="49" w:name="_Toc358302248"/>
      <w:bookmarkStart w:id="50" w:name="_Toc380763540"/>
      <w:r w:rsidRPr="001D2F48">
        <w:rPr>
          <w:lang w:eastAsia="en-GB"/>
        </w:rPr>
        <w:t>Action iii: Setting a target</w:t>
      </w:r>
      <w:bookmarkEnd w:id="49"/>
      <w:bookmarkEnd w:id="50"/>
    </w:p>
    <w:p w:rsidR="00913351" w:rsidRPr="006A6CE3" w:rsidRDefault="00913351" w:rsidP="00D21F1A">
      <w:pPr>
        <w:rPr>
          <w:rFonts w:cs="Arial"/>
        </w:rPr>
      </w:pPr>
      <w:r w:rsidRPr="006A6CE3">
        <w:rPr>
          <w:rFonts w:cs="Arial"/>
        </w:rPr>
        <w:t xml:space="preserve">Once you have your data, set a target. There are a number of good business reasons to do this such as improving cost and resource efficiency.  It is important to obtain senior management commitment to the target as this will establish internal accountability for your targets; create an incentive system, and provide resources to meet your target.  You should set a target date that will drive strategic change within your business. </w:t>
      </w:r>
    </w:p>
    <w:p w:rsidR="00913351" w:rsidRPr="006A6CE3" w:rsidRDefault="00913351" w:rsidP="00E204D9">
      <w:pPr>
        <w:rPr>
          <w:rFonts w:cs="Arial"/>
        </w:rPr>
      </w:pPr>
      <w:r w:rsidRPr="006A6CE3">
        <w:rPr>
          <w:rFonts w:cs="Arial"/>
        </w:rPr>
        <w:t>There are two types of target:</w:t>
      </w:r>
    </w:p>
    <w:p w:rsidR="00913351" w:rsidRPr="006A6CE3" w:rsidRDefault="00913351" w:rsidP="0086258B">
      <w:pPr>
        <w:numPr>
          <w:ilvl w:val="0"/>
          <w:numId w:val="2"/>
        </w:numPr>
        <w:spacing w:before="200" w:after="200"/>
        <w:ind w:left="284" w:firstLine="0"/>
        <w:rPr>
          <w:rFonts w:cs="Arial"/>
        </w:rPr>
      </w:pPr>
      <w:r w:rsidRPr="006A6CE3">
        <w:rPr>
          <w:rFonts w:cs="Arial"/>
        </w:rPr>
        <w:t xml:space="preserve">an absolute reduction target which compares absolute figures in the target year to the base year; </w:t>
      </w:r>
    </w:p>
    <w:p w:rsidR="00913351" w:rsidRPr="006A6CE3" w:rsidRDefault="00913351" w:rsidP="0086258B">
      <w:pPr>
        <w:numPr>
          <w:ilvl w:val="0"/>
          <w:numId w:val="2"/>
        </w:numPr>
        <w:spacing w:before="200" w:after="200"/>
        <w:ind w:left="284" w:firstLine="0"/>
        <w:rPr>
          <w:rFonts w:cs="Arial"/>
        </w:rPr>
      </w:pPr>
      <w:proofErr w:type="gramStart"/>
      <w:r w:rsidRPr="006A6CE3">
        <w:rPr>
          <w:rFonts w:cs="Arial"/>
        </w:rPr>
        <w:t>an</w:t>
      </w:r>
      <w:proofErr w:type="gramEnd"/>
      <w:r w:rsidRPr="006A6CE3">
        <w:rPr>
          <w:rFonts w:cs="Arial"/>
        </w:rPr>
        <w:t xml:space="preserve"> intensity target based on an appropriate normalising factor (e.g. water consumption per tonne of product, CO2e emissions per Full Time Equivalent staff member). </w:t>
      </w:r>
    </w:p>
    <w:p w:rsidR="00913351" w:rsidRPr="006A6CE3" w:rsidRDefault="00913351" w:rsidP="00E204D9">
      <w:pPr>
        <w:rPr>
          <w:rFonts w:cs="Arial"/>
        </w:rPr>
      </w:pPr>
      <w:r w:rsidRPr="006A6CE3">
        <w:rPr>
          <w:rFonts w:cs="Arial"/>
        </w:rPr>
        <w:t xml:space="preserve"> An absolute target is designed to achieve actual reductions in environmental impact. Organisational growth has to be decoupled from the environmental impact in order to achieve an absolute target. In contrast, an intensity target can drive resource efficiency and relative environmental impact, but the total resource use/impact may actually increase even if an intensity target has been reached due to increases in organisational activity e.g. production. </w:t>
      </w:r>
    </w:p>
    <w:p w:rsidR="00913351" w:rsidRPr="001D2F48" w:rsidRDefault="00913351" w:rsidP="002F6CDA">
      <w:pPr>
        <w:pStyle w:val="Heading2"/>
      </w:pPr>
      <w:bookmarkStart w:id="51" w:name="_Toc358302249"/>
      <w:bookmarkStart w:id="52" w:name="_Toc380763541"/>
      <w:r w:rsidRPr="001D2F48">
        <w:t xml:space="preserve">Action </w:t>
      </w:r>
      <w:proofErr w:type="gramStart"/>
      <w:r w:rsidRPr="001D2F48">
        <w:t>iv</w:t>
      </w:r>
      <w:proofErr w:type="gramEnd"/>
      <w:r w:rsidRPr="001D2F48">
        <w:t>: Assurance and verifica</w:t>
      </w:r>
      <w:r w:rsidR="00D21F1A" w:rsidRPr="001D2F48">
        <w:t>tion</w:t>
      </w:r>
      <w:bookmarkEnd w:id="51"/>
      <w:bookmarkEnd w:id="52"/>
    </w:p>
    <w:p w:rsidR="00913351" w:rsidRPr="006A6CE3" w:rsidRDefault="00913351" w:rsidP="00D21F1A">
      <w:pPr>
        <w:rPr>
          <w:rFonts w:cs="Arial"/>
          <w:color w:val="000000"/>
          <w:szCs w:val="24"/>
          <w:lang w:eastAsia="en-GB"/>
        </w:rPr>
      </w:pPr>
      <w:r w:rsidRPr="006A6CE3">
        <w:rPr>
          <w:rFonts w:cs="Arial"/>
          <w:color w:val="000000"/>
          <w:szCs w:val="24"/>
          <w:lang w:eastAsia="en-GB"/>
        </w:rPr>
        <w:t xml:space="preserve">Assurance and verification of reported sustainability and environmental data is a component of a responsible reporting approach.  There is a reputational risk in disclosing misleading data and assurance provides a check on the value and authenticity of the data in the public domain. While there are many methodological approaches to sustainability/ environmental assurance, the key components of a robust assurance statement, are that it should: </w:t>
      </w:r>
    </w:p>
    <w:p w:rsidR="00913351" w:rsidRPr="006A6CE3" w:rsidRDefault="00913351" w:rsidP="0086258B">
      <w:pPr>
        <w:numPr>
          <w:ilvl w:val="0"/>
          <w:numId w:val="37"/>
        </w:numPr>
        <w:rPr>
          <w:rFonts w:cs="Arial"/>
          <w:color w:val="000000"/>
          <w:szCs w:val="24"/>
          <w:lang w:eastAsia="en-GB"/>
        </w:rPr>
      </w:pPr>
      <w:r w:rsidRPr="006A6CE3">
        <w:rPr>
          <w:rFonts w:cs="Arial"/>
          <w:color w:val="000000"/>
          <w:szCs w:val="24"/>
          <w:lang w:eastAsia="en-GB"/>
        </w:rPr>
        <w:t xml:space="preserve">Clearly reflect the scope of matter material to both your company and your stakeholders </w:t>
      </w:r>
    </w:p>
    <w:p w:rsidR="00913351" w:rsidRPr="006A6CE3" w:rsidRDefault="00913351" w:rsidP="0086258B">
      <w:pPr>
        <w:numPr>
          <w:ilvl w:val="0"/>
          <w:numId w:val="37"/>
        </w:numPr>
        <w:rPr>
          <w:rFonts w:cs="Arial"/>
          <w:color w:val="000000"/>
          <w:szCs w:val="24"/>
          <w:lang w:eastAsia="en-GB"/>
        </w:rPr>
      </w:pPr>
      <w:r w:rsidRPr="006A6CE3">
        <w:rPr>
          <w:rFonts w:cs="Arial"/>
          <w:color w:val="000000"/>
          <w:szCs w:val="24"/>
          <w:lang w:eastAsia="en-GB"/>
        </w:rPr>
        <w:t xml:space="preserve">Transparently review the quality of your disclosures </w:t>
      </w:r>
    </w:p>
    <w:p w:rsidR="00913351" w:rsidRPr="006A6CE3" w:rsidRDefault="00913351" w:rsidP="0086258B">
      <w:pPr>
        <w:numPr>
          <w:ilvl w:val="0"/>
          <w:numId w:val="37"/>
        </w:numPr>
        <w:rPr>
          <w:rFonts w:cs="Arial"/>
          <w:color w:val="000000"/>
          <w:szCs w:val="24"/>
          <w:lang w:eastAsia="en-GB"/>
        </w:rPr>
      </w:pPr>
      <w:r w:rsidRPr="006A6CE3">
        <w:rPr>
          <w:rFonts w:cs="Arial"/>
          <w:color w:val="000000"/>
          <w:szCs w:val="24"/>
          <w:lang w:eastAsia="en-GB"/>
        </w:rPr>
        <w:t xml:space="preserve">Provide clear conclusions on data quality and processes </w:t>
      </w:r>
    </w:p>
    <w:p w:rsidR="00913351" w:rsidRPr="006A6CE3" w:rsidRDefault="00913351" w:rsidP="0086258B">
      <w:pPr>
        <w:numPr>
          <w:ilvl w:val="0"/>
          <w:numId w:val="37"/>
        </w:numPr>
        <w:rPr>
          <w:rFonts w:cs="Arial"/>
          <w:color w:val="000000"/>
          <w:szCs w:val="24"/>
          <w:lang w:eastAsia="en-GB"/>
        </w:rPr>
      </w:pPr>
      <w:r w:rsidRPr="006A6CE3">
        <w:rPr>
          <w:rFonts w:cs="Arial"/>
          <w:color w:val="000000"/>
          <w:szCs w:val="24"/>
          <w:lang w:eastAsia="en-GB"/>
        </w:rPr>
        <w:lastRenderedPageBreak/>
        <w:t xml:space="preserve">Be conducted by a qualified, independent third party reviewer </w:t>
      </w:r>
    </w:p>
    <w:p w:rsidR="00913351" w:rsidRPr="006A6CE3" w:rsidRDefault="00913351" w:rsidP="0086258B">
      <w:pPr>
        <w:numPr>
          <w:ilvl w:val="0"/>
          <w:numId w:val="37"/>
        </w:numPr>
        <w:rPr>
          <w:rFonts w:cs="Arial"/>
          <w:color w:val="000000"/>
          <w:szCs w:val="24"/>
          <w:lang w:eastAsia="en-GB"/>
        </w:rPr>
      </w:pPr>
      <w:r w:rsidRPr="006A6CE3">
        <w:rPr>
          <w:rFonts w:cs="Arial"/>
          <w:color w:val="000000"/>
          <w:szCs w:val="24"/>
          <w:lang w:eastAsia="en-GB"/>
        </w:rPr>
        <w:t xml:space="preserve">Meet the requirements of a recognised standard </w:t>
      </w:r>
    </w:p>
    <w:p w:rsidR="00913351" w:rsidRPr="006A6CE3" w:rsidRDefault="00913351" w:rsidP="0086258B">
      <w:pPr>
        <w:numPr>
          <w:ilvl w:val="0"/>
          <w:numId w:val="37"/>
        </w:numPr>
        <w:rPr>
          <w:rFonts w:cs="Arial"/>
          <w:color w:val="000000"/>
          <w:szCs w:val="24"/>
          <w:lang w:eastAsia="en-GB"/>
        </w:rPr>
      </w:pPr>
      <w:r w:rsidRPr="006A6CE3">
        <w:rPr>
          <w:rFonts w:cs="Arial"/>
          <w:color w:val="000000"/>
          <w:szCs w:val="24"/>
          <w:lang w:eastAsia="en-GB"/>
        </w:rPr>
        <w:t xml:space="preserve">Be easily understood and jargon free. </w:t>
      </w:r>
    </w:p>
    <w:p w:rsidR="00913351" w:rsidRPr="006A6CE3" w:rsidRDefault="00913351" w:rsidP="00D21F1A">
      <w:pPr>
        <w:rPr>
          <w:rFonts w:cs="Arial"/>
          <w:szCs w:val="24"/>
        </w:rPr>
      </w:pPr>
    </w:p>
    <w:p w:rsidR="00913351" w:rsidRPr="006A6CE3" w:rsidRDefault="00913351" w:rsidP="00D21F1A">
      <w:pPr>
        <w:rPr>
          <w:rFonts w:cs="Arial"/>
        </w:rPr>
      </w:pPr>
      <w:r w:rsidRPr="006A6CE3">
        <w:rPr>
          <w:rFonts w:cs="Arial"/>
        </w:rPr>
        <w:t xml:space="preserve">There are two internationally-recognised standards for the verification of sustainability reports </w:t>
      </w:r>
      <w:r w:rsidRPr="006A6CE3">
        <w:rPr>
          <w:rFonts w:cs="Arial"/>
          <w:szCs w:val="24"/>
        </w:rPr>
        <w:t xml:space="preserve">that are ideally used together as they complement one another. </w:t>
      </w:r>
    </w:p>
    <w:p w:rsidR="00913351" w:rsidRPr="006A6CE3" w:rsidRDefault="00913351" w:rsidP="0086258B">
      <w:pPr>
        <w:numPr>
          <w:ilvl w:val="0"/>
          <w:numId w:val="38"/>
        </w:numPr>
        <w:rPr>
          <w:rFonts w:cs="Arial"/>
          <w:szCs w:val="24"/>
        </w:rPr>
      </w:pPr>
      <w:r w:rsidRPr="006A6CE3">
        <w:rPr>
          <w:rFonts w:cs="Arial"/>
          <w:szCs w:val="24"/>
        </w:rPr>
        <w:t xml:space="preserve">International Audit and Assurance Standards Board’s ISAE3000 “Assurance engagements other than audits or reviews of historical financial information’.  </w:t>
      </w:r>
    </w:p>
    <w:p w:rsidR="00913351" w:rsidRPr="006A6CE3" w:rsidRDefault="00913351" w:rsidP="0086258B">
      <w:pPr>
        <w:numPr>
          <w:ilvl w:val="0"/>
          <w:numId w:val="38"/>
        </w:numPr>
        <w:rPr>
          <w:rFonts w:cs="Arial"/>
          <w:szCs w:val="24"/>
        </w:rPr>
      </w:pPr>
      <w:r w:rsidRPr="006A6CE3">
        <w:rPr>
          <w:rFonts w:cs="Arial"/>
          <w:szCs w:val="24"/>
        </w:rPr>
        <w:t>AA1000AS</w:t>
      </w:r>
      <w:r w:rsidRPr="006A6CE3">
        <w:rPr>
          <w:rStyle w:val="FootnoteReference"/>
          <w:rFonts w:cs="Arial"/>
          <w:szCs w:val="24"/>
        </w:rPr>
        <w:footnoteReference w:id="14"/>
      </w:r>
      <w:r w:rsidRPr="006A6CE3">
        <w:rPr>
          <w:rFonts w:cs="Arial"/>
          <w:szCs w:val="24"/>
        </w:rPr>
        <w:t xml:space="preserve"> from </w:t>
      </w:r>
      <w:proofErr w:type="spellStart"/>
      <w:r w:rsidRPr="006A6CE3">
        <w:rPr>
          <w:rFonts w:cs="Arial"/>
          <w:szCs w:val="24"/>
        </w:rPr>
        <w:t>AccountAbility</w:t>
      </w:r>
      <w:proofErr w:type="spellEnd"/>
      <w:r w:rsidRPr="006A6CE3">
        <w:rPr>
          <w:rFonts w:cs="Arial"/>
          <w:szCs w:val="24"/>
        </w:rPr>
        <w:t xml:space="preserve"> (the Institute of Social and Ethical </w:t>
      </w:r>
      <w:proofErr w:type="spellStart"/>
      <w:r w:rsidRPr="006A6CE3">
        <w:rPr>
          <w:rFonts w:cs="Arial"/>
          <w:szCs w:val="24"/>
        </w:rPr>
        <w:t>AccountAbility</w:t>
      </w:r>
      <w:proofErr w:type="spellEnd"/>
      <w:r w:rsidRPr="006A6CE3">
        <w:rPr>
          <w:rFonts w:cs="Arial"/>
          <w:szCs w:val="24"/>
        </w:rPr>
        <w:t xml:space="preserve">). AA1000AS is a free, open source set of principles which addresses sustainability and CSR aspects of reports. </w:t>
      </w:r>
    </w:p>
    <w:p w:rsidR="00913351" w:rsidRPr="006A6CE3" w:rsidRDefault="00C93591" w:rsidP="00E204D9">
      <w:pPr>
        <w:rPr>
          <w:rFonts w:cs="Arial"/>
          <w:szCs w:val="24"/>
        </w:rPr>
      </w:pPr>
      <w:hyperlink r:id="rId30" w:history="1">
        <w:r w:rsidR="00913351" w:rsidRPr="006A6CE3">
          <w:rPr>
            <w:rStyle w:val="Hyperlink"/>
            <w:rFonts w:cs="Arial"/>
            <w:szCs w:val="24"/>
          </w:rPr>
          <w:t>ISO14064-3</w:t>
        </w:r>
      </w:hyperlink>
      <w:r w:rsidR="00913351" w:rsidRPr="006A6CE3">
        <w:rPr>
          <w:rFonts w:cs="Arial"/>
          <w:szCs w:val="24"/>
        </w:rPr>
        <w:t xml:space="preserve"> and ISAE 3410 are widely-used standards for the verification of GHG emissions reports CDP also has a </w:t>
      </w:r>
      <w:hyperlink r:id="rId31" w:history="1">
        <w:r w:rsidR="00913351" w:rsidRPr="006A6CE3">
          <w:rPr>
            <w:rStyle w:val="Hyperlink"/>
            <w:rFonts w:cs="Arial"/>
            <w:szCs w:val="24"/>
          </w:rPr>
          <w:t>document</w:t>
        </w:r>
      </w:hyperlink>
      <w:r w:rsidR="00913351" w:rsidRPr="006A6CE3">
        <w:rPr>
          <w:rFonts w:cs="Arial"/>
          <w:szCs w:val="24"/>
        </w:rPr>
        <w:t xml:space="preserve"> that explains more about the verification process. </w:t>
      </w:r>
    </w:p>
    <w:p w:rsidR="00913351" w:rsidRPr="006A6CE3" w:rsidRDefault="00913351" w:rsidP="006B6993">
      <w:pPr>
        <w:rPr>
          <w:rFonts w:cs="Arial"/>
        </w:rPr>
      </w:pPr>
      <w:r w:rsidRPr="006A6CE3">
        <w:rPr>
          <w:rFonts w:cs="Arial"/>
        </w:rPr>
        <w:t>There is no statutory requirement to have your environmental information audited. The statutory auditor of the financial statements is not required to verify environmental information in the strategic or directors’ reports within the annual report, but an auditor will be required to consider:</w:t>
      </w:r>
    </w:p>
    <w:p w:rsidR="00913351" w:rsidRPr="006A6CE3" w:rsidRDefault="00913351" w:rsidP="0086258B">
      <w:pPr>
        <w:numPr>
          <w:ilvl w:val="0"/>
          <w:numId w:val="39"/>
        </w:numPr>
        <w:rPr>
          <w:rFonts w:cs="Arial"/>
          <w:bCs/>
        </w:rPr>
      </w:pPr>
      <w:r w:rsidRPr="006A6CE3">
        <w:rPr>
          <w:rFonts w:cs="Arial"/>
          <w:bCs/>
        </w:rPr>
        <w:t>whether the information is consistent with the financial statements</w:t>
      </w:r>
      <w:r w:rsidRPr="006A6CE3">
        <w:rPr>
          <w:rStyle w:val="FootnoteReference"/>
          <w:rFonts w:cs="Arial"/>
          <w:bCs/>
        </w:rPr>
        <w:footnoteReference w:id="15"/>
      </w:r>
      <w:r w:rsidRPr="006A6CE3">
        <w:rPr>
          <w:rFonts w:cs="Arial"/>
          <w:bCs/>
        </w:rPr>
        <w:t xml:space="preserve">; and </w:t>
      </w:r>
    </w:p>
    <w:p w:rsidR="00913351" w:rsidRPr="006A6CE3" w:rsidRDefault="00913351" w:rsidP="0086258B">
      <w:pPr>
        <w:numPr>
          <w:ilvl w:val="0"/>
          <w:numId w:val="39"/>
        </w:numPr>
        <w:rPr>
          <w:rFonts w:cs="Arial"/>
          <w:bCs/>
        </w:rPr>
      </w:pPr>
      <w:r w:rsidRPr="006A6CE3">
        <w:rPr>
          <w:rFonts w:cs="Arial"/>
          <w:bCs/>
        </w:rPr>
        <w:t>whether the information is materially incorrect or materially inconsistent with the financial statements based on the knowledge acquired by the auditor in the course of performing the audit</w:t>
      </w:r>
      <w:r w:rsidRPr="006A6CE3">
        <w:rPr>
          <w:rStyle w:val="FootnoteReference"/>
          <w:rFonts w:cs="Arial"/>
          <w:bCs/>
        </w:rPr>
        <w:footnoteReference w:id="16"/>
      </w:r>
      <w:r w:rsidRPr="006A6CE3">
        <w:rPr>
          <w:rFonts w:cs="Arial"/>
          <w:bCs/>
        </w:rPr>
        <w:t>; and</w:t>
      </w:r>
    </w:p>
    <w:p w:rsidR="00913351" w:rsidRPr="006A6CE3" w:rsidRDefault="00913351" w:rsidP="0086258B">
      <w:pPr>
        <w:numPr>
          <w:ilvl w:val="0"/>
          <w:numId w:val="39"/>
        </w:numPr>
        <w:rPr>
          <w:rFonts w:cs="Arial"/>
          <w:bCs/>
        </w:rPr>
      </w:pPr>
      <w:proofErr w:type="gramStart"/>
      <w:r w:rsidRPr="006A6CE3">
        <w:rPr>
          <w:rFonts w:cs="Arial"/>
          <w:bCs/>
        </w:rPr>
        <w:t>the</w:t>
      </w:r>
      <w:proofErr w:type="gramEnd"/>
      <w:r w:rsidRPr="006A6CE3">
        <w:rPr>
          <w:rFonts w:cs="Arial"/>
          <w:bCs/>
        </w:rPr>
        <w:t xml:space="preserve"> need to qualify their report if they become aware of such an inconsistency or apparent misstatement, and that matter is unresolved.  </w:t>
      </w:r>
      <w:r w:rsidRPr="006A6CE3">
        <w:rPr>
          <w:rFonts w:cs="Arial"/>
          <w:bCs/>
        </w:rPr>
        <w:lastRenderedPageBreak/>
        <w:t>In addition, whilst they are not required to consider whether the strategic and directors’ reports comply with the relevant laws and regulations, if they become aware of any material non-compliance (which might include becoming aware of failure to provide material environmental data), then they would need to discuss the matter with management and those charged with governance.</w:t>
      </w:r>
      <w:r w:rsidRPr="006A6CE3">
        <w:rPr>
          <w:rStyle w:val="FootnoteReference"/>
          <w:rFonts w:cs="Arial"/>
          <w:bCs/>
        </w:rPr>
        <w:footnoteReference w:id="17"/>
      </w:r>
    </w:p>
    <w:p w:rsidR="00913351" w:rsidRPr="006A6CE3" w:rsidRDefault="00913351" w:rsidP="006B6993">
      <w:pPr>
        <w:rPr>
          <w:rFonts w:cs="Arial"/>
        </w:rPr>
      </w:pPr>
      <w:r w:rsidRPr="006A6CE3">
        <w:rPr>
          <w:rFonts w:cs="Arial"/>
          <w:bCs/>
        </w:rPr>
        <w:t xml:space="preserve">Where your company publishes a separate environmental or sustainability report, your auditor is not required to read it although they may consider it as contributing to </w:t>
      </w:r>
      <w:proofErr w:type="gramStart"/>
      <w:r w:rsidRPr="006A6CE3">
        <w:rPr>
          <w:rFonts w:cs="Arial"/>
          <w:bCs/>
        </w:rPr>
        <w:t>a knowledge</w:t>
      </w:r>
      <w:proofErr w:type="gramEnd"/>
      <w:r w:rsidRPr="006A6CE3">
        <w:rPr>
          <w:rFonts w:cs="Arial"/>
          <w:bCs/>
        </w:rPr>
        <w:t xml:space="preserve"> of the business</w:t>
      </w:r>
      <w:r w:rsidRPr="006A6CE3">
        <w:rPr>
          <w:rStyle w:val="FootnoteReference"/>
          <w:rFonts w:cs="Arial"/>
          <w:bCs/>
          <w:szCs w:val="24"/>
        </w:rPr>
        <w:footnoteReference w:id="18"/>
      </w:r>
      <w:r w:rsidRPr="006A6CE3">
        <w:rPr>
          <w:rFonts w:cs="Arial"/>
          <w:bCs/>
        </w:rPr>
        <w:t xml:space="preserve">. </w:t>
      </w:r>
      <w:r w:rsidRPr="006A6CE3" w:rsidDel="002F3709">
        <w:rPr>
          <w:rFonts w:cs="Arial"/>
          <w:bCs/>
        </w:rPr>
        <w:t xml:space="preserve">  </w:t>
      </w:r>
    </w:p>
    <w:p w:rsidR="00913351" w:rsidRPr="001D2F48" w:rsidRDefault="00913351" w:rsidP="002F6CDA">
      <w:pPr>
        <w:pStyle w:val="Heading2"/>
      </w:pPr>
      <w:bookmarkStart w:id="53" w:name="_Toc358302250"/>
      <w:bookmarkStart w:id="54" w:name="_Toc380763542"/>
      <w:r w:rsidRPr="001D2F48">
        <w:t>Action v: Your upstream supply chain</w:t>
      </w:r>
      <w:bookmarkEnd w:id="53"/>
      <w:bookmarkEnd w:id="54"/>
      <w:r w:rsidRPr="001D2F48">
        <w:t xml:space="preserve"> </w:t>
      </w:r>
    </w:p>
    <w:p w:rsidR="00913351" w:rsidRPr="006A6CE3" w:rsidRDefault="00913351" w:rsidP="006B6993">
      <w:pPr>
        <w:rPr>
          <w:rFonts w:cs="Arial"/>
          <w:color w:val="000000"/>
          <w:szCs w:val="24"/>
          <w:lang w:eastAsia="en-GB"/>
        </w:rPr>
      </w:pPr>
      <w:r w:rsidRPr="006A6CE3">
        <w:rPr>
          <w:rFonts w:cs="Arial"/>
          <w:color w:val="000000"/>
          <w:szCs w:val="24"/>
          <w:lang w:eastAsia="en-GB"/>
        </w:rPr>
        <w:t xml:space="preserve">The indirect environmental impact of your supply chain may be greater than your own impact. </w:t>
      </w:r>
      <w:r w:rsidRPr="006A6CE3">
        <w:rPr>
          <w:rFonts w:cs="Arial"/>
          <w:color w:val="000000"/>
          <w:lang w:eastAsia="en-GB"/>
        </w:rPr>
        <w:t xml:space="preserve">Engaging with your supply chain can provide you with valuable information to inform a strategic assessment of where, in your supply chain, the most significant environmental impacts are occurring. </w:t>
      </w:r>
    </w:p>
    <w:p w:rsidR="00913351" w:rsidRPr="006A6CE3" w:rsidRDefault="00913351" w:rsidP="006B6993">
      <w:pPr>
        <w:rPr>
          <w:rFonts w:cs="Arial"/>
          <w:lang w:eastAsia="en-GB"/>
        </w:rPr>
      </w:pPr>
      <w:r w:rsidRPr="006A6CE3">
        <w:rPr>
          <w:rFonts w:cs="Arial"/>
          <w:color w:val="000000"/>
          <w:szCs w:val="24"/>
          <w:lang w:eastAsia="en-GB"/>
        </w:rPr>
        <w:t xml:space="preserve">There is no single, quantifiable measure that you can use as a KPI for the effect of your upstream supply chain on the environment but you can use the environmental information that your suppliers’ report in order to make better procurement decisions. </w:t>
      </w:r>
      <w:r w:rsidRPr="006A6CE3">
        <w:rPr>
          <w:rFonts w:cs="Arial"/>
          <w:lang w:eastAsia="en-GB"/>
        </w:rPr>
        <w:t xml:space="preserve">The following is an example of a process that can be used to determine the impacts upstream in the supply chain:  </w:t>
      </w:r>
    </w:p>
    <w:p w:rsidR="00913351" w:rsidRPr="006A6CE3" w:rsidRDefault="00913351" w:rsidP="0086258B">
      <w:pPr>
        <w:numPr>
          <w:ilvl w:val="0"/>
          <w:numId w:val="40"/>
        </w:numPr>
        <w:rPr>
          <w:rFonts w:cs="Arial"/>
          <w:color w:val="000000"/>
          <w:szCs w:val="24"/>
          <w:lang w:eastAsia="en-GB"/>
        </w:rPr>
      </w:pPr>
      <w:r w:rsidRPr="006A6CE3">
        <w:rPr>
          <w:rFonts w:cs="Arial"/>
          <w:color w:val="000000"/>
          <w:szCs w:val="24"/>
          <w:lang w:eastAsia="en-GB"/>
        </w:rPr>
        <w:t xml:space="preserve">Identify companies from which goods and services are purchased. </w:t>
      </w:r>
    </w:p>
    <w:p w:rsidR="00913351" w:rsidRPr="006A6CE3" w:rsidRDefault="00913351" w:rsidP="0086258B">
      <w:pPr>
        <w:numPr>
          <w:ilvl w:val="0"/>
          <w:numId w:val="40"/>
        </w:numPr>
        <w:rPr>
          <w:rFonts w:cs="Arial"/>
          <w:color w:val="000000"/>
          <w:szCs w:val="24"/>
          <w:lang w:eastAsia="en-GB"/>
        </w:rPr>
      </w:pPr>
      <w:r w:rsidRPr="006A6CE3">
        <w:rPr>
          <w:rFonts w:cs="Arial"/>
          <w:color w:val="000000"/>
          <w:szCs w:val="24"/>
          <w:lang w:eastAsia="en-GB"/>
        </w:rPr>
        <w:t>Categorise your expenditure into sector groupings.</w:t>
      </w:r>
    </w:p>
    <w:p w:rsidR="00913351" w:rsidRPr="006A6CE3" w:rsidRDefault="00913351" w:rsidP="0086258B">
      <w:pPr>
        <w:numPr>
          <w:ilvl w:val="0"/>
          <w:numId w:val="40"/>
        </w:numPr>
        <w:rPr>
          <w:rFonts w:cs="Arial"/>
          <w:color w:val="000000"/>
          <w:szCs w:val="24"/>
          <w:lang w:eastAsia="en-GB"/>
        </w:rPr>
      </w:pPr>
      <w:r w:rsidRPr="006A6CE3">
        <w:rPr>
          <w:rFonts w:cs="Arial"/>
          <w:color w:val="000000"/>
          <w:szCs w:val="24"/>
          <w:lang w:eastAsia="en-GB"/>
        </w:rPr>
        <w:t xml:space="preserve">Assess the typical environmental impacts and risks for each sector. </w:t>
      </w:r>
    </w:p>
    <w:p w:rsidR="00913351" w:rsidRPr="006A6CE3" w:rsidRDefault="00913351" w:rsidP="0086258B">
      <w:pPr>
        <w:numPr>
          <w:ilvl w:val="0"/>
          <w:numId w:val="40"/>
        </w:numPr>
        <w:rPr>
          <w:rFonts w:cs="Arial"/>
          <w:color w:val="000000"/>
          <w:szCs w:val="24"/>
          <w:lang w:eastAsia="en-GB"/>
        </w:rPr>
      </w:pPr>
      <w:r w:rsidRPr="006A6CE3">
        <w:rPr>
          <w:rFonts w:cs="Arial"/>
          <w:color w:val="000000"/>
          <w:szCs w:val="24"/>
          <w:lang w:eastAsia="en-GB"/>
        </w:rPr>
        <w:t xml:space="preserve">Determine where to focus your efforts. Clearly some suppliers, even suppliers in the same sector, have more significant environmental impacts than others. It is important to prioritise your suppliers in a way that takes into account both the amount of money you spend with them and relative environmental impact. </w:t>
      </w:r>
    </w:p>
    <w:p w:rsidR="00913351" w:rsidRPr="006A6CE3" w:rsidRDefault="006B6993" w:rsidP="0086258B">
      <w:pPr>
        <w:numPr>
          <w:ilvl w:val="0"/>
          <w:numId w:val="40"/>
        </w:numPr>
        <w:rPr>
          <w:rFonts w:cs="Arial"/>
          <w:color w:val="000000"/>
          <w:szCs w:val="24"/>
          <w:lang w:eastAsia="en-GB"/>
        </w:rPr>
      </w:pPr>
      <w:r w:rsidRPr="006A6CE3">
        <w:rPr>
          <w:rFonts w:cs="Arial"/>
          <w:color w:val="000000"/>
          <w:szCs w:val="24"/>
          <w:lang w:eastAsia="en-GB"/>
        </w:rPr>
        <w:t>E</w:t>
      </w:r>
      <w:r w:rsidR="00913351" w:rsidRPr="006A6CE3">
        <w:rPr>
          <w:rFonts w:cs="Arial"/>
          <w:color w:val="000000"/>
          <w:szCs w:val="24"/>
          <w:lang w:eastAsia="en-GB"/>
        </w:rPr>
        <w:t>ngage with your suppliers. Encourage your suppliers to report on the key impacts.</w:t>
      </w:r>
    </w:p>
    <w:p w:rsidR="00913351" w:rsidRPr="006A6CE3" w:rsidRDefault="00913351" w:rsidP="0086258B">
      <w:pPr>
        <w:numPr>
          <w:ilvl w:val="0"/>
          <w:numId w:val="40"/>
        </w:numPr>
        <w:rPr>
          <w:rFonts w:cs="Arial"/>
          <w:color w:val="000000"/>
          <w:szCs w:val="24"/>
          <w:lang w:eastAsia="en-GB"/>
        </w:rPr>
      </w:pPr>
      <w:r w:rsidRPr="006A6CE3">
        <w:rPr>
          <w:rFonts w:cs="Arial"/>
          <w:color w:val="000000"/>
          <w:szCs w:val="24"/>
          <w:lang w:eastAsia="en-GB"/>
        </w:rPr>
        <w:lastRenderedPageBreak/>
        <w:t xml:space="preserve">Influence purchasing decisions with the information gathered. Improvements In your suppliers’ environmental performance will be more likely if they know that their environmental performance is a factor in your organisation’s buying decisions.  </w:t>
      </w:r>
    </w:p>
    <w:p w:rsidR="00913351" w:rsidRPr="006A6CE3" w:rsidRDefault="00913351" w:rsidP="0086258B">
      <w:pPr>
        <w:numPr>
          <w:ilvl w:val="0"/>
          <w:numId w:val="40"/>
        </w:numPr>
        <w:rPr>
          <w:rFonts w:cs="Arial"/>
          <w:lang w:eastAsia="en-GB"/>
        </w:rPr>
      </w:pPr>
      <w:r w:rsidRPr="006A6CE3">
        <w:rPr>
          <w:rFonts w:cs="Arial"/>
          <w:color w:val="000000"/>
          <w:szCs w:val="24"/>
          <w:lang w:eastAsia="en-GB"/>
        </w:rPr>
        <w:t>Consider post-contract supplier development to focus on engaging suppliers in continuous improvement in environmental management.</w:t>
      </w:r>
    </w:p>
    <w:p w:rsidR="00913351" w:rsidRPr="001D2F48" w:rsidRDefault="00913351" w:rsidP="002F6CDA">
      <w:pPr>
        <w:pStyle w:val="Heading2"/>
      </w:pPr>
      <w:bookmarkStart w:id="55" w:name="_Toc358302251"/>
      <w:bookmarkStart w:id="56" w:name="_Toc380763543"/>
      <w:r w:rsidRPr="001D2F48">
        <w:t xml:space="preserve">Action </w:t>
      </w:r>
      <w:proofErr w:type="gramStart"/>
      <w:r w:rsidRPr="001D2F48">
        <w:t>vi</w:t>
      </w:r>
      <w:proofErr w:type="gramEnd"/>
      <w:r w:rsidRPr="001D2F48">
        <w:t>: Your downstream impacts</w:t>
      </w:r>
      <w:bookmarkEnd w:id="55"/>
      <w:bookmarkEnd w:id="56"/>
    </w:p>
    <w:p w:rsidR="00913351" w:rsidRPr="006A6CE3" w:rsidRDefault="00913351" w:rsidP="006B6993">
      <w:pPr>
        <w:rPr>
          <w:rFonts w:cs="Arial"/>
        </w:rPr>
      </w:pPr>
      <w:r w:rsidRPr="006A6CE3">
        <w:rPr>
          <w:rFonts w:cs="Arial"/>
          <w:lang w:eastAsia="en-GB"/>
        </w:rPr>
        <w:t xml:space="preserve">Whilst identifying key performance indicators for downstream environmental impacts is beyond the direct scope of this guidance, there are some issues that you should consider, for example, water use in washing machines, electricity use of TVs, etc.  In some cases there are specific legal requirements associated with managing the end-of-life phase of products e.g. batteries, electrical equipment and cars.  You should consider disclosing information on both the financial risks represented by any liabilities associated with managing end-of-life disposal, and narrative disclosures on level of engagement with those organisations involved in the recycling or reuse of the particular products.   </w:t>
      </w:r>
    </w:p>
    <w:p w:rsidR="00913351" w:rsidRPr="001D2F48" w:rsidRDefault="00913351" w:rsidP="002F6CDA">
      <w:pPr>
        <w:pStyle w:val="Heading2"/>
      </w:pPr>
      <w:bookmarkStart w:id="57" w:name="_Toc358302252"/>
      <w:bookmarkStart w:id="58" w:name="_Toc380763544"/>
      <w:r w:rsidRPr="001D2F48">
        <w:t>Action vii: Business continuity &amp; environmental risks</w:t>
      </w:r>
      <w:bookmarkEnd w:id="57"/>
      <w:bookmarkEnd w:id="58"/>
      <w:r w:rsidRPr="001D2F48">
        <w:t xml:space="preserve"> </w:t>
      </w:r>
    </w:p>
    <w:p w:rsidR="00913351" w:rsidRPr="006A6CE3" w:rsidRDefault="00913351" w:rsidP="006B6993">
      <w:pPr>
        <w:rPr>
          <w:rFonts w:cs="Arial"/>
        </w:rPr>
      </w:pPr>
      <w:r w:rsidRPr="006A6CE3">
        <w:rPr>
          <w:rFonts w:cs="Arial"/>
        </w:rPr>
        <w:t xml:space="preserve">The compelling and growing evidence on climate change points to the need for drastic and urgent action to reduce emissions of greenhouse gases.  But this alone will not suffice: substantial changes to our climate are already unavoidable.  Even with urgent greenhouse gas emissions reductions, scientists expect that the world will face rising temperatures and, in many places, increasingly frequent and severe weather impacts due to climate change.  </w:t>
      </w:r>
    </w:p>
    <w:p w:rsidR="00913351" w:rsidRPr="006A6CE3" w:rsidRDefault="00913351" w:rsidP="006B6993">
      <w:pPr>
        <w:rPr>
          <w:rFonts w:cs="Arial"/>
        </w:rPr>
      </w:pPr>
      <w:r w:rsidRPr="006A6CE3">
        <w:rPr>
          <w:rFonts w:cs="Arial"/>
        </w:rPr>
        <w:t xml:space="preserve">These changes will have profound effects on many aspects of our lives in the UK.  For example, there is a greater threat of droughts, floods and </w:t>
      </w:r>
      <w:proofErr w:type="spellStart"/>
      <w:r w:rsidRPr="006A6CE3">
        <w:rPr>
          <w:rFonts w:cs="Arial"/>
        </w:rPr>
        <w:t>heatwaves</w:t>
      </w:r>
      <w:proofErr w:type="spellEnd"/>
      <w:r w:rsidRPr="006A6CE3">
        <w:rPr>
          <w:rFonts w:cs="Arial"/>
        </w:rPr>
        <w:t xml:space="preserve">, with extreme weather events becoming more frequent.  Sea levels are rising and, in the future, the rate of rise will accelerate; some familiar species will disappear and new alien species will arrive—for better or worse.  The international impacts are likely to affect food security, migration patterns, natural ecosystems, production and supply.  </w:t>
      </w:r>
    </w:p>
    <w:p w:rsidR="00913351" w:rsidRPr="006A6CE3" w:rsidRDefault="00913351" w:rsidP="006B6993">
      <w:pPr>
        <w:rPr>
          <w:rFonts w:cs="Arial"/>
        </w:rPr>
      </w:pPr>
      <w:r w:rsidRPr="006A6CE3">
        <w:rPr>
          <w:rFonts w:cs="Arial"/>
        </w:rPr>
        <w:lastRenderedPageBreak/>
        <w:t>These changes will only emerge erratically over the coming years and decades, but they require action now.  For the business sector, this means managing those risks and discovering new opportunities, to maintain a competitive edge.  Forward planning rather than reacting to extreme weather events as they occur is essential.  This process of adjusting to the changes in our climate is called adaptation and should be part of any strategy on climate change.</w:t>
      </w:r>
    </w:p>
    <w:p w:rsidR="00913351" w:rsidRPr="006A6CE3" w:rsidRDefault="00913351" w:rsidP="006B6993">
      <w:pPr>
        <w:rPr>
          <w:rFonts w:cs="Arial"/>
        </w:rPr>
      </w:pPr>
      <w:r w:rsidRPr="006A6CE3">
        <w:rPr>
          <w:rFonts w:cs="Arial"/>
        </w:rPr>
        <w:t>There are three elements of adaptation:</w:t>
      </w:r>
    </w:p>
    <w:p w:rsidR="00913351" w:rsidRPr="006A6CE3" w:rsidRDefault="00913351" w:rsidP="0086258B">
      <w:pPr>
        <w:numPr>
          <w:ilvl w:val="0"/>
          <w:numId w:val="41"/>
        </w:numPr>
        <w:rPr>
          <w:rFonts w:cs="Arial"/>
        </w:rPr>
      </w:pPr>
      <w:r w:rsidRPr="006A6CE3">
        <w:rPr>
          <w:rFonts w:cs="Arial"/>
        </w:rPr>
        <w:t xml:space="preserve">to reduce exposure to the risk of damage; </w:t>
      </w:r>
    </w:p>
    <w:p w:rsidR="00913351" w:rsidRPr="006A6CE3" w:rsidRDefault="00913351" w:rsidP="0086258B">
      <w:pPr>
        <w:numPr>
          <w:ilvl w:val="0"/>
          <w:numId w:val="41"/>
        </w:numPr>
        <w:rPr>
          <w:rFonts w:cs="Arial"/>
        </w:rPr>
      </w:pPr>
      <w:r w:rsidRPr="006A6CE3">
        <w:rPr>
          <w:rFonts w:cs="Arial"/>
        </w:rPr>
        <w:t xml:space="preserve">to develop the capacity to cope with unavoidable damages; </w:t>
      </w:r>
    </w:p>
    <w:p w:rsidR="00913351" w:rsidRPr="006A6CE3" w:rsidRDefault="00913351" w:rsidP="0086258B">
      <w:pPr>
        <w:numPr>
          <w:ilvl w:val="0"/>
          <w:numId w:val="41"/>
        </w:numPr>
        <w:rPr>
          <w:rFonts w:cs="Arial"/>
        </w:rPr>
      </w:pPr>
      <w:proofErr w:type="gramStart"/>
      <w:r w:rsidRPr="006A6CE3">
        <w:rPr>
          <w:rFonts w:cs="Arial"/>
        </w:rPr>
        <w:t>to</w:t>
      </w:r>
      <w:proofErr w:type="gramEnd"/>
      <w:r w:rsidRPr="006A6CE3">
        <w:rPr>
          <w:rFonts w:cs="Arial"/>
        </w:rPr>
        <w:t xml:space="preserve"> take advantage of new opportunities.</w:t>
      </w:r>
    </w:p>
    <w:p w:rsidR="00913351" w:rsidRPr="006A6CE3" w:rsidRDefault="00913351" w:rsidP="006B6993">
      <w:pPr>
        <w:rPr>
          <w:rFonts w:cs="Arial"/>
        </w:rPr>
      </w:pPr>
      <w:r w:rsidRPr="006A6CE3">
        <w:rPr>
          <w:rFonts w:cs="Arial"/>
        </w:rPr>
        <w:t xml:space="preserve">Effective adaptation to climate change requires sound risk management and strengthening business resilience.  </w:t>
      </w:r>
    </w:p>
    <w:p w:rsidR="00913351" w:rsidRPr="001D2F48" w:rsidRDefault="00913351" w:rsidP="002F6CDA">
      <w:pPr>
        <w:pStyle w:val="Heading2"/>
      </w:pPr>
      <w:bookmarkStart w:id="59" w:name="_Toc358302253"/>
      <w:bookmarkStart w:id="60" w:name="_Toc380763545"/>
      <w:r w:rsidRPr="001D2F48">
        <w:t>Recommendations</w:t>
      </w:r>
      <w:bookmarkEnd w:id="59"/>
      <w:bookmarkEnd w:id="60"/>
    </w:p>
    <w:p w:rsidR="00913351" w:rsidRPr="006A6CE3" w:rsidRDefault="00913351" w:rsidP="0086258B">
      <w:pPr>
        <w:numPr>
          <w:ilvl w:val="0"/>
          <w:numId w:val="42"/>
        </w:numPr>
        <w:rPr>
          <w:rFonts w:cs="Arial"/>
          <w:szCs w:val="24"/>
        </w:rPr>
      </w:pPr>
      <w:r w:rsidRPr="006A6CE3">
        <w:rPr>
          <w:rFonts w:cs="Arial"/>
          <w:szCs w:val="24"/>
        </w:rPr>
        <w:t xml:space="preserve">Include an evaluation of climate risks in your company’s overall assessment of business risks.  </w:t>
      </w:r>
    </w:p>
    <w:p w:rsidR="00913351" w:rsidRPr="006A6CE3" w:rsidRDefault="00913351" w:rsidP="0086258B">
      <w:pPr>
        <w:numPr>
          <w:ilvl w:val="0"/>
          <w:numId w:val="42"/>
        </w:numPr>
        <w:rPr>
          <w:rFonts w:cs="Arial"/>
          <w:szCs w:val="24"/>
        </w:rPr>
      </w:pPr>
      <w:r w:rsidRPr="006A6CE3">
        <w:rPr>
          <w:rFonts w:cs="Arial"/>
          <w:szCs w:val="24"/>
        </w:rPr>
        <w:t>Cover the following areas in your climate risk evaluation:</w:t>
      </w:r>
    </w:p>
    <w:p w:rsidR="00913351" w:rsidRPr="006A6CE3" w:rsidRDefault="00913351" w:rsidP="0086258B">
      <w:pPr>
        <w:numPr>
          <w:ilvl w:val="0"/>
          <w:numId w:val="43"/>
        </w:numPr>
        <w:rPr>
          <w:rFonts w:cs="Arial"/>
          <w:szCs w:val="24"/>
        </w:rPr>
      </w:pPr>
      <w:r w:rsidRPr="006A6CE3">
        <w:rPr>
          <w:rFonts w:cs="Arial"/>
          <w:szCs w:val="24"/>
        </w:rPr>
        <w:t>supply chains;</w:t>
      </w:r>
    </w:p>
    <w:p w:rsidR="00913351" w:rsidRPr="006A6CE3" w:rsidRDefault="00913351" w:rsidP="0086258B">
      <w:pPr>
        <w:numPr>
          <w:ilvl w:val="0"/>
          <w:numId w:val="43"/>
        </w:numPr>
        <w:rPr>
          <w:rFonts w:cs="Arial"/>
          <w:szCs w:val="24"/>
        </w:rPr>
      </w:pPr>
      <w:r w:rsidRPr="006A6CE3">
        <w:rPr>
          <w:rFonts w:cs="Arial"/>
          <w:szCs w:val="24"/>
        </w:rPr>
        <w:t>assets;</w:t>
      </w:r>
    </w:p>
    <w:p w:rsidR="00913351" w:rsidRPr="006A6CE3" w:rsidRDefault="00913351" w:rsidP="0086258B">
      <w:pPr>
        <w:numPr>
          <w:ilvl w:val="0"/>
          <w:numId w:val="43"/>
        </w:numPr>
        <w:rPr>
          <w:rFonts w:cs="Arial"/>
          <w:szCs w:val="24"/>
        </w:rPr>
      </w:pPr>
      <w:r w:rsidRPr="006A6CE3">
        <w:rPr>
          <w:rFonts w:cs="Arial"/>
          <w:szCs w:val="24"/>
        </w:rPr>
        <w:t>operations;</w:t>
      </w:r>
    </w:p>
    <w:p w:rsidR="00913351" w:rsidRPr="006A6CE3" w:rsidRDefault="00913351" w:rsidP="0086258B">
      <w:pPr>
        <w:numPr>
          <w:ilvl w:val="0"/>
          <w:numId w:val="43"/>
        </w:numPr>
        <w:rPr>
          <w:rFonts w:cs="Arial"/>
          <w:szCs w:val="24"/>
        </w:rPr>
      </w:pPr>
      <w:r w:rsidRPr="006A6CE3">
        <w:rPr>
          <w:rFonts w:cs="Arial"/>
          <w:szCs w:val="24"/>
        </w:rPr>
        <w:t>markets;</w:t>
      </w:r>
    </w:p>
    <w:p w:rsidR="00913351" w:rsidRPr="006A6CE3" w:rsidRDefault="00913351" w:rsidP="0086258B">
      <w:pPr>
        <w:numPr>
          <w:ilvl w:val="0"/>
          <w:numId w:val="43"/>
        </w:numPr>
        <w:rPr>
          <w:rFonts w:cs="Arial"/>
          <w:szCs w:val="24"/>
        </w:rPr>
      </w:pPr>
      <w:r w:rsidRPr="006A6CE3">
        <w:rPr>
          <w:rFonts w:cs="Arial"/>
          <w:szCs w:val="24"/>
        </w:rPr>
        <w:t>regulatory compliance</w:t>
      </w:r>
    </w:p>
    <w:p w:rsidR="006B6993" w:rsidRPr="006A6CE3" w:rsidRDefault="006B6993" w:rsidP="006B6993">
      <w:pPr>
        <w:ind w:left="720"/>
        <w:rPr>
          <w:rFonts w:cs="Arial"/>
          <w:szCs w:val="24"/>
        </w:rPr>
      </w:pPr>
    </w:p>
    <w:p w:rsidR="006B6993" w:rsidRPr="006A6CE3" w:rsidRDefault="00913351" w:rsidP="0086258B">
      <w:pPr>
        <w:pStyle w:val="ListParagraph"/>
        <w:numPr>
          <w:ilvl w:val="0"/>
          <w:numId w:val="42"/>
        </w:numPr>
        <w:autoSpaceDE w:val="0"/>
        <w:autoSpaceDN w:val="0"/>
        <w:adjustRightInd w:val="0"/>
        <w:spacing w:before="0" w:after="0" w:line="240" w:lineRule="auto"/>
        <w:contextualSpacing w:val="0"/>
        <w:rPr>
          <w:rFonts w:cs="Arial"/>
          <w:szCs w:val="24"/>
        </w:rPr>
      </w:pPr>
      <w:r w:rsidRPr="006A6CE3">
        <w:rPr>
          <w:rFonts w:cs="Arial"/>
          <w:szCs w:val="24"/>
        </w:rPr>
        <w:t>Focus your climate adaptation strategies on actions that fit within broader sustainability strategies and that deliver savings (in resource use and running costs) in their own right.</w:t>
      </w:r>
    </w:p>
    <w:p w:rsidR="006B6993" w:rsidRPr="006A6CE3" w:rsidRDefault="006B6993" w:rsidP="006B6993">
      <w:pPr>
        <w:pStyle w:val="ListParagraph"/>
        <w:autoSpaceDE w:val="0"/>
        <w:autoSpaceDN w:val="0"/>
        <w:adjustRightInd w:val="0"/>
        <w:spacing w:before="0" w:after="0" w:line="240" w:lineRule="auto"/>
        <w:contextualSpacing w:val="0"/>
        <w:rPr>
          <w:rFonts w:cs="Arial"/>
          <w:szCs w:val="24"/>
        </w:rPr>
      </w:pPr>
    </w:p>
    <w:p w:rsidR="006B6993" w:rsidRPr="006A6CE3" w:rsidRDefault="006B6993" w:rsidP="0086258B">
      <w:pPr>
        <w:pStyle w:val="ListParagraph"/>
        <w:numPr>
          <w:ilvl w:val="0"/>
          <w:numId w:val="42"/>
        </w:numPr>
        <w:autoSpaceDE w:val="0"/>
        <w:autoSpaceDN w:val="0"/>
        <w:adjustRightInd w:val="0"/>
        <w:spacing w:before="0" w:after="0" w:line="240" w:lineRule="auto"/>
        <w:contextualSpacing w:val="0"/>
        <w:rPr>
          <w:rFonts w:cs="Arial"/>
          <w:szCs w:val="24"/>
        </w:rPr>
      </w:pPr>
      <w:r w:rsidRPr="006A6CE3">
        <w:rPr>
          <w:rFonts w:cs="Arial"/>
          <w:szCs w:val="24"/>
        </w:rPr>
        <w:t>Include actions you have taken on climate change adaptation in your annual report.</w:t>
      </w:r>
    </w:p>
    <w:p w:rsidR="00913351" w:rsidRPr="006A6CE3" w:rsidRDefault="00913351" w:rsidP="006B6993">
      <w:pPr>
        <w:rPr>
          <w:rFonts w:cs="Arial"/>
        </w:rPr>
      </w:pPr>
      <w:r w:rsidRPr="006A6CE3">
        <w:rPr>
          <w:rFonts w:cs="Arial"/>
          <w:szCs w:val="24"/>
        </w:rPr>
        <w:lastRenderedPageBreak/>
        <w:t>The level and type of response will depend largely on the exposure of your busine</w:t>
      </w:r>
      <w:r w:rsidRPr="006A6CE3">
        <w:rPr>
          <w:rFonts w:cs="Arial"/>
        </w:rPr>
        <w:t xml:space="preserve">ss: whether responding to direct risks to core operations, or indirect risks via supply chain or other dependencies.  You will need to utilise expertise across your organisation—among sustainability, procurement, </w:t>
      </w:r>
      <w:proofErr w:type="gramStart"/>
      <w:r w:rsidRPr="006A6CE3">
        <w:rPr>
          <w:rFonts w:cs="Arial"/>
        </w:rPr>
        <w:t>business</w:t>
      </w:r>
      <w:proofErr w:type="gramEnd"/>
      <w:r w:rsidRPr="006A6CE3">
        <w:rPr>
          <w:rFonts w:cs="Arial"/>
        </w:rPr>
        <w:t xml:space="preserve"> continuity and environment managers - to develop your adaptation strategy.</w:t>
      </w:r>
    </w:p>
    <w:p w:rsidR="00913351" w:rsidRPr="006A6CE3" w:rsidRDefault="00913351" w:rsidP="006B6993">
      <w:pPr>
        <w:rPr>
          <w:rFonts w:cs="Arial"/>
        </w:rPr>
      </w:pPr>
      <w:r w:rsidRPr="006A6CE3">
        <w:rPr>
          <w:rFonts w:cs="Arial"/>
        </w:rPr>
        <w:t xml:space="preserve">The impacts of climate change will be widespread and affect networks on which you rely.  Explore how you can work with external partners to contribute to increased climate resilience.  Partners with a mutual interest in ensuring climate security could include suppliers, customers, other local businesses, local authorities, and others in your sector.  </w:t>
      </w:r>
    </w:p>
    <w:p w:rsidR="00913351" w:rsidRPr="006A6CE3" w:rsidRDefault="00913351" w:rsidP="006B6993">
      <w:pPr>
        <w:rPr>
          <w:rFonts w:cs="Arial"/>
        </w:rPr>
      </w:pPr>
      <w:r w:rsidRPr="006A6CE3">
        <w:rPr>
          <w:rFonts w:cs="Arial"/>
        </w:rPr>
        <w:t>Being ready for climate change is also about making sure you identify new ways and better ways to do business.  There will be demands for new products and services; the demand for some existing products will grow.  Customers will want to be confident that you will be able to deliver whatever the weather.  Taking a lead in the development of new climate adaptation technologies and expertise could also open up new markets for UK firms internationally.  Financial institutions, for example, are at the centre of efforts to evaluate climate vulnerability and act on the risk to investments it poses.  Some major banks have undertaken research to support investment managers to incorporate climate-related risks in assessments of investment portfolios.</w:t>
      </w:r>
    </w:p>
    <w:p w:rsidR="00913351" w:rsidRPr="001D2F48" w:rsidRDefault="00913351" w:rsidP="002F6CDA">
      <w:pPr>
        <w:pStyle w:val="Heading2"/>
      </w:pPr>
      <w:bookmarkStart w:id="61" w:name="_Toc358302254"/>
      <w:bookmarkStart w:id="62" w:name="_Toc380763546"/>
      <w:r w:rsidRPr="001D2F48">
        <w:t>Climate Ready</w:t>
      </w:r>
      <w:bookmarkEnd w:id="61"/>
      <w:bookmarkEnd w:id="62"/>
    </w:p>
    <w:p w:rsidR="00913351" w:rsidRPr="006A6CE3" w:rsidRDefault="00913351" w:rsidP="006B6993">
      <w:pPr>
        <w:rPr>
          <w:rFonts w:cs="Arial"/>
        </w:rPr>
      </w:pPr>
      <w:r w:rsidRPr="006A6CE3">
        <w:rPr>
          <w:rFonts w:cs="Arial"/>
        </w:rPr>
        <w:t xml:space="preserve">The Environment Agency has a role to provide advice and support to businesses, public sector and other organisations in England to help them adapt to a changing climate.  Its aim is to help key sectors increase their resilience to climate risks.  Organisations based in Scotland should contact Adaptation Scotland or the Scottish Environment Protection Agency (SEPA) for advice. The Environment Agency is working closely with Defra as part of Climate Ready—the Government's national programme for adaptation. The Environment Agency has information and tools to help business adapt.  Sign up to their Climate Ready e-bulletin.  For more information on the risks the UK faces from climate change and the actions underway in Government visit the website. </w:t>
      </w:r>
    </w:p>
    <w:p w:rsidR="00913351" w:rsidRPr="006A6CE3" w:rsidRDefault="00913351" w:rsidP="00874244">
      <w:pPr>
        <w:rPr>
          <w:rFonts w:cs="Arial"/>
        </w:rPr>
      </w:pPr>
      <w:r w:rsidRPr="006A6CE3">
        <w:rPr>
          <w:rFonts w:cs="Arial"/>
        </w:rPr>
        <w:t xml:space="preserve">The report </w:t>
      </w:r>
      <w:hyperlink r:id="rId32" w:history="1">
        <w:r w:rsidRPr="006A6CE3">
          <w:rPr>
            <w:rStyle w:val="Hyperlink"/>
            <w:rFonts w:cs="Arial"/>
          </w:rPr>
          <w:t>“Insights into Climate Change Adaptation by UK Companies</w:t>
        </w:r>
      </w:hyperlink>
      <w:r w:rsidRPr="006A6CE3">
        <w:rPr>
          <w:rFonts w:cs="Arial"/>
        </w:rPr>
        <w:t>” provides further details and case studies of how FTSE 100 companies have adapted to climate risks.</w:t>
      </w:r>
      <w:r w:rsidRPr="006A6CE3">
        <w:rPr>
          <w:rFonts w:cs="Arial"/>
        </w:rPr>
        <w:br w:type="page"/>
      </w:r>
    </w:p>
    <w:p w:rsidR="00913351" w:rsidRPr="006A6CE3" w:rsidRDefault="00913351" w:rsidP="00E204D9">
      <w:pPr>
        <w:pStyle w:val="Heading1"/>
        <w:rPr>
          <w:rFonts w:cs="Arial"/>
          <w:color w:val="76923C"/>
        </w:rPr>
      </w:pPr>
      <w:bookmarkStart w:id="63" w:name="_Chapter_2:_Guidance"/>
      <w:bookmarkStart w:id="64" w:name="_Toc343016838"/>
      <w:bookmarkStart w:id="65" w:name="_Toc358054482"/>
      <w:bookmarkStart w:id="66" w:name="_Toc358054562"/>
      <w:bookmarkStart w:id="67" w:name="_Toc358060202"/>
      <w:bookmarkStart w:id="68" w:name="_Toc358302255"/>
      <w:bookmarkStart w:id="69" w:name="_Toc380763547"/>
      <w:bookmarkStart w:id="70" w:name="_Toc340827184"/>
      <w:bookmarkEnd w:id="63"/>
      <w:r w:rsidRPr="006A6CE3">
        <w:rPr>
          <w:rFonts w:cs="Arial"/>
          <w:color w:val="76923C"/>
        </w:rPr>
        <w:lastRenderedPageBreak/>
        <w:t>Chapter 2: Guidance on mandatory reporting requirements for quoted companie</w:t>
      </w:r>
      <w:bookmarkEnd w:id="64"/>
      <w:r w:rsidR="00EE7D3E" w:rsidRPr="006A6CE3">
        <w:rPr>
          <w:rFonts w:cs="Arial"/>
          <w:color w:val="76923C"/>
        </w:rPr>
        <w:t>s</w:t>
      </w:r>
      <w:bookmarkEnd w:id="65"/>
      <w:bookmarkEnd w:id="66"/>
      <w:bookmarkEnd w:id="67"/>
      <w:bookmarkEnd w:id="68"/>
      <w:bookmarkEnd w:id="69"/>
    </w:p>
    <w:p w:rsidR="00913351" w:rsidRPr="006A6CE3" w:rsidRDefault="00913351" w:rsidP="00E204D9">
      <w:pPr>
        <w:rPr>
          <w:rFonts w:cs="Arial"/>
        </w:rPr>
      </w:pPr>
      <w:r w:rsidRPr="006A6CE3">
        <w:rPr>
          <w:rFonts w:cs="Arial"/>
        </w:rPr>
        <w:t xml:space="preserve">Under the Companies Act 2006 (Strategic and Directors’ Reports) Regulations 2013 quoted companies are required to report their annual emissions in their directors’ report.  </w:t>
      </w:r>
    </w:p>
    <w:p w:rsidR="00913351" w:rsidRPr="006A6CE3" w:rsidRDefault="00913351" w:rsidP="00E204D9">
      <w:pPr>
        <w:rPr>
          <w:rFonts w:cs="Arial"/>
        </w:rPr>
      </w:pPr>
      <w:r w:rsidRPr="006A6CE3">
        <w:rPr>
          <w:rFonts w:cs="Arial"/>
        </w:rPr>
        <w:t>This section specifically applies to those companies affected by the regulation.  It sets out both the requirements of the regulation and also outlines additional information that is likely to be useful to data-users.</w:t>
      </w:r>
    </w:p>
    <w:p w:rsidR="00913351" w:rsidRPr="006A6CE3" w:rsidRDefault="00913351" w:rsidP="00BE3068">
      <w:pPr>
        <w:pStyle w:val="Heading2"/>
      </w:pPr>
      <w:bookmarkStart w:id="71" w:name="_Toc358302256"/>
      <w:bookmarkStart w:id="72" w:name="_Toc380763548"/>
      <w:r w:rsidRPr="006A6CE3">
        <w:t>Is my company required to report?</w:t>
      </w:r>
      <w:bookmarkEnd w:id="71"/>
      <w:bookmarkEnd w:id="72"/>
    </w:p>
    <w:p w:rsidR="00913351" w:rsidRPr="006A6CE3" w:rsidRDefault="00913351" w:rsidP="00E204D9">
      <w:pPr>
        <w:rPr>
          <w:rFonts w:cs="Arial"/>
        </w:rPr>
      </w:pPr>
      <w:r w:rsidRPr="006A6CE3">
        <w:rPr>
          <w:rFonts w:cs="Arial"/>
        </w:rPr>
        <w:t xml:space="preserve">Quoted companies in this respect are those that are UK incorporated </w:t>
      </w:r>
      <w:r w:rsidRPr="006A6CE3">
        <w:rPr>
          <w:rFonts w:cs="Arial"/>
          <w:b/>
        </w:rPr>
        <w:t>and</w:t>
      </w:r>
      <w:r w:rsidRPr="006A6CE3">
        <w:rPr>
          <w:rFonts w:cs="Arial"/>
        </w:rPr>
        <w:t xml:space="preserve"> whose equity share capital is officially listed on the main market of the London Stock Exchange; or is officially listed in a European Economic Area; or is admitted to dealing on either the New York Stock Exchange or NASDAQ.  Companies within the scope of the regulation must adhere to its requirements. </w:t>
      </w:r>
    </w:p>
    <w:p w:rsidR="00913351" w:rsidRPr="006A6CE3" w:rsidRDefault="00913351" w:rsidP="00E204D9">
      <w:pPr>
        <w:rPr>
          <w:rFonts w:cs="Arial"/>
        </w:rPr>
      </w:pPr>
      <w:r w:rsidRPr="006A6CE3">
        <w:rPr>
          <w:rFonts w:cs="Arial"/>
        </w:rPr>
        <w:t xml:space="preserve">If you are a company or organization not affected by these regulations you are recommended to report voluntarily in line with the voluntary accounting &amp; reporting guidance in the following chapter of this document. Quoted companies may also choose to report in line with that guidance in addition to meeting the regulatory requirements. </w:t>
      </w:r>
    </w:p>
    <w:p w:rsidR="00913351" w:rsidRPr="006A6CE3" w:rsidRDefault="00151A25" w:rsidP="00E204D9">
      <w:pPr>
        <w:rPr>
          <w:rFonts w:cs="Arial"/>
        </w:rPr>
      </w:pPr>
      <w:r>
        <w:rPr>
          <w:rFonts w:cs="Arial"/>
          <w:noProof/>
          <w:lang w:eastAsia="en-GB"/>
        </w:rPr>
        <mc:AlternateContent>
          <mc:Choice Requires="wps">
            <w:drawing>
              <wp:inline distT="0" distB="0" distL="0" distR="0" wp14:anchorId="5C451214" wp14:editId="60D37516">
                <wp:extent cx="5327015" cy="932180"/>
                <wp:effectExtent l="9525" t="9525" r="6985" b="10795"/>
                <wp:docPr id="1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015" cy="932180"/>
                        </a:xfrm>
                        <a:prstGeom prst="rect">
                          <a:avLst/>
                        </a:prstGeom>
                        <a:solidFill>
                          <a:srgbClr val="929309"/>
                        </a:solidFill>
                        <a:ln w="9525">
                          <a:solidFill>
                            <a:srgbClr val="000000"/>
                          </a:solidFill>
                          <a:miter lim="800000"/>
                          <a:headEnd/>
                          <a:tailEnd/>
                        </a:ln>
                      </wps:spPr>
                      <wps:txbx>
                        <w:txbxContent>
                          <w:p w:rsidR="0040731C" w:rsidRDefault="0040731C" w:rsidP="00913351">
                            <w:pPr>
                              <w:rPr>
                                <w:rFonts w:cs="Arial"/>
                                <w:color w:val="FFFFFF"/>
                              </w:rPr>
                            </w:pPr>
                            <w:r>
                              <w:rPr>
                                <w:rFonts w:cs="Arial"/>
                                <w:color w:val="FFFFFF"/>
                              </w:rPr>
                              <w:t xml:space="preserve">Determine whether you are a quoted company required to report within the terms of the regulation.  Check with your finance director or company secretary if you are unsure. </w:t>
                            </w:r>
                          </w:p>
                          <w:p w:rsidR="0040731C" w:rsidRDefault="0040731C" w:rsidP="00913351">
                            <w:pPr>
                              <w:rPr>
                                <w:rFonts w:cs="Arial"/>
                                <w:i/>
                                <w:sz w:val="20"/>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7" o:spid="_x0000_s1026" type="#_x0000_t202" style="width:419.45pt;height:7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" fillcolor="#929309">
                <v:textbox>
                  <w:txbxContent>
                    <w:p w:rsidR="0040731C" w:rsidRDefault="0040731C" w:rsidP="00913351">
                      <w:pPr>
                        <w:rPr>
                          <w:rFonts w:cs="Arial"/>
                          <w:color w:val="FFFFFF"/>
                        </w:rPr>
                      </w:pPr>
                      <w:r>
                        <w:rPr>
                          <w:rFonts w:cs="Arial"/>
                          <w:color w:val="FFFFFF"/>
                        </w:rPr>
                        <w:t xml:space="preserve">Determine whether you are a quoted company required to report within the terms of the regulation.  Check with your finance director or company secretary if you are unsure. </w:t>
                      </w:r>
                    </w:p>
                    <w:p w:rsidR="0040731C" w:rsidRDefault="0040731C" w:rsidP="00913351">
                      <w:pPr>
                        <w:rPr>
                          <w:rFonts w:cs="Arial"/>
                          <w:i/>
                          <w:sz w:val="20"/>
                        </w:rPr>
                      </w:pPr>
                    </w:p>
                  </w:txbxContent>
                </v:textbox>
                <w10:anchorlock/>
              </v:shape>
            </w:pict>
          </mc:Fallback>
        </mc:AlternateContent>
      </w:r>
    </w:p>
    <w:p w:rsidR="00913351" w:rsidRPr="006A6CE3" w:rsidRDefault="00913351" w:rsidP="00E204D9">
      <w:pPr>
        <w:rPr>
          <w:rFonts w:cs="Arial"/>
        </w:rPr>
      </w:pPr>
    </w:p>
    <w:p w:rsidR="00913351" w:rsidRPr="006A6CE3" w:rsidRDefault="00913351" w:rsidP="00BE3068">
      <w:pPr>
        <w:pStyle w:val="Heading2"/>
      </w:pPr>
      <w:bookmarkStart w:id="73" w:name="_Toc358302257"/>
      <w:bookmarkStart w:id="74" w:name="_Toc380763549"/>
      <w:r w:rsidRPr="006A6CE3">
        <w:t>When will my company have to start reporting?</w:t>
      </w:r>
      <w:bookmarkEnd w:id="73"/>
      <w:bookmarkEnd w:id="74"/>
    </w:p>
    <w:p w:rsidR="00913351" w:rsidRPr="006A6CE3" w:rsidRDefault="00913351" w:rsidP="00E204D9">
      <w:pPr>
        <w:rPr>
          <w:rFonts w:cs="Arial"/>
        </w:rPr>
      </w:pPr>
      <w:r w:rsidRPr="006A6CE3">
        <w:rPr>
          <w:rFonts w:cs="Arial"/>
        </w:rPr>
        <w:t>The requirement comes in to place for company reporting years ending on or after 30 September 2013.  You will need to check what reporting year your company uses. This refers to the year-end date, not the date of publication of the directors’ report.</w:t>
      </w:r>
    </w:p>
    <w:p w:rsidR="00913351" w:rsidRPr="006A6CE3" w:rsidRDefault="00913351" w:rsidP="00E204D9">
      <w:pPr>
        <w:rPr>
          <w:rFonts w:cs="Arial"/>
        </w:rPr>
      </w:pPr>
    </w:p>
    <w:tbl>
      <w:tblPr>
        <w:tblW w:w="8366" w:type="dxa"/>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2799"/>
        <w:gridCol w:w="5567"/>
      </w:tblGrid>
      <w:tr w:rsidR="00C64465" w:rsidRPr="006A6CE3" w:rsidTr="00AA48B1">
        <w:trPr>
          <w:trHeight w:val="808"/>
        </w:trPr>
        <w:tc>
          <w:tcPr>
            <w:tcW w:w="2799" w:type="dxa"/>
            <w:shd w:val="clear" w:color="auto" w:fill="878800"/>
            <w:hideMark/>
          </w:tcPr>
          <w:p w:rsidR="00913351" w:rsidRPr="006A6CE3" w:rsidRDefault="00913351" w:rsidP="00E204D9">
            <w:pPr>
              <w:rPr>
                <w:rFonts w:cs="Arial"/>
                <w:color w:val="FFFFFF"/>
                <w:sz w:val="28"/>
              </w:rPr>
            </w:pPr>
            <w:r w:rsidRPr="006A6CE3">
              <w:rPr>
                <w:rFonts w:cs="Arial"/>
                <w:b/>
                <w:bCs/>
                <w:color w:val="FFFFFF"/>
                <w:sz w:val="28"/>
              </w:rPr>
              <w:t xml:space="preserve">Your usual financial year </w:t>
            </w:r>
          </w:p>
        </w:tc>
        <w:tc>
          <w:tcPr>
            <w:tcW w:w="5567" w:type="dxa"/>
            <w:shd w:val="clear" w:color="auto" w:fill="878800"/>
            <w:hideMark/>
          </w:tcPr>
          <w:p w:rsidR="00913351" w:rsidRPr="006A6CE3" w:rsidRDefault="00913351" w:rsidP="00E204D9">
            <w:pPr>
              <w:rPr>
                <w:rFonts w:cs="Arial"/>
                <w:color w:val="FFFFFF"/>
                <w:sz w:val="28"/>
              </w:rPr>
            </w:pPr>
            <w:r w:rsidRPr="006A6CE3">
              <w:rPr>
                <w:rFonts w:cs="Arial"/>
                <w:b/>
                <w:bCs/>
                <w:color w:val="FFFFFF"/>
                <w:sz w:val="28"/>
              </w:rPr>
              <w:t xml:space="preserve">Your first reporting year under the regulation </w:t>
            </w:r>
          </w:p>
        </w:tc>
      </w:tr>
      <w:tr w:rsidR="00913351" w:rsidRPr="006A6CE3" w:rsidTr="00AA48B1">
        <w:trPr>
          <w:trHeight w:val="546"/>
        </w:trPr>
        <w:tc>
          <w:tcPr>
            <w:tcW w:w="2799" w:type="dxa"/>
            <w:shd w:val="clear" w:color="auto" w:fill="FFFFFF"/>
            <w:hideMark/>
          </w:tcPr>
          <w:p w:rsidR="00913351" w:rsidRPr="006A6CE3" w:rsidRDefault="00913351" w:rsidP="00E204D9">
            <w:pPr>
              <w:rPr>
                <w:rFonts w:cs="Arial"/>
                <w:sz w:val="22"/>
              </w:rPr>
            </w:pPr>
            <w:r w:rsidRPr="006A6CE3">
              <w:rPr>
                <w:rFonts w:cs="Arial"/>
                <w:sz w:val="22"/>
              </w:rPr>
              <w:t>1 January to 31 December</w:t>
            </w:r>
          </w:p>
        </w:tc>
        <w:tc>
          <w:tcPr>
            <w:tcW w:w="5567" w:type="dxa"/>
            <w:shd w:val="clear" w:color="auto" w:fill="auto"/>
            <w:hideMark/>
          </w:tcPr>
          <w:p w:rsidR="00913351" w:rsidRPr="006A6CE3" w:rsidRDefault="00913351" w:rsidP="00E204D9">
            <w:pPr>
              <w:rPr>
                <w:rFonts w:cs="Arial"/>
                <w:sz w:val="22"/>
              </w:rPr>
            </w:pPr>
            <w:r w:rsidRPr="006A6CE3">
              <w:rPr>
                <w:rFonts w:cs="Arial"/>
                <w:sz w:val="22"/>
              </w:rPr>
              <w:t xml:space="preserve">1 January 2013 to 31 December 2013 </w:t>
            </w:r>
          </w:p>
        </w:tc>
      </w:tr>
      <w:tr w:rsidR="00913351" w:rsidRPr="006A6CE3" w:rsidTr="00AA48B1">
        <w:trPr>
          <w:trHeight w:val="916"/>
        </w:trPr>
        <w:tc>
          <w:tcPr>
            <w:tcW w:w="2799" w:type="dxa"/>
            <w:shd w:val="clear" w:color="auto" w:fill="FFFFFF"/>
            <w:hideMark/>
          </w:tcPr>
          <w:p w:rsidR="00913351" w:rsidRPr="006A6CE3" w:rsidRDefault="00913351" w:rsidP="00E204D9">
            <w:pPr>
              <w:rPr>
                <w:rFonts w:cs="Arial"/>
                <w:sz w:val="22"/>
              </w:rPr>
            </w:pPr>
            <w:r w:rsidRPr="006A6CE3">
              <w:rPr>
                <w:rFonts w:cs="Arial"/>
                <w:sz w:val="22"/>
              </w:rPr>
              <w:t xml:space="preserve">1 April to 30 March </w:t>
            </w:r>
          </w:p>
        </w:tc>
        <w:tc>
          <w:tcPr>
            <w:tcW w:w="5567" w:type="dxa"/>
            <w:shd w:val="clear" w:color="auto" w:fill="auto"/>
            <w:hideMark/>
          </w:tcPr>
          <w:p w:rsidR="00913351" w:rsidRPr="006A6CE3" w:rsidRDefault="00913351" w:rsidP="00E204D9">
            <w:pPr>
              <w:rPr>
                <w:rFonts w:cs="Arial"/>
                <w:sz w:val="22"/>
              </w:rPr>
            </w:pPr>
            <w:r w:rsidRPr="006A6CE3">
              <w:rPr>
                <w:rFonts w:cs="Arial"/>
                <w:sz w:val="22"/>
              </w:rPr>
              <w:t xml:space="preserve">1 April 2013 to 30 March 2014 </w:t>
            </w:r>
          </w:p>
        </w:tc>
      </w:tr>
      <w:tr w:rsidR="00913351" w:rsidRPr="006A6CE3" w:rsidTr="00AA48B1">
        <w:trPr>
          <w:trHeight w:val="392"/>
        </w:trPr>
        <w:tc>
          <w:tcPr>
            <w:tcW w:w="2799" w:type="dxa"/>
            <w:shd w:val="clear" w:color="auto" w:fill="FFFFFF"/>
            <w:hideMark/>
          </w:tcPr>
          <w:p w:rsidR="00913351" w:rsidRPr="006A6CE3" w:rsidRDefault="00913351" w:rsidP="00E204D9">
            <w:pPr>
              <w:rPr>
                <w:rFonts w:cs="Arial"/>
                <w:sz w:val="22"/>
              </w:rPr>
            </w:pPr>
            <w:r w:rsidRPr="006A6CE3">
              <w:rPr>
                <w:rFonts w:cs="Arial"/>
                <w:sz w:val="22"/>
              </w:rPr>
              <w:t xml:space="preserve">1 October to 30 September </w:t>
            </w:r>
          </w:p>
        </w:tc>
        <w:tc>
          <w:tcPr>
            <w:tcW w:w="5567" w:type="dxa"/>
            <w:shd w:val="clear" w:color="auto" w:fill="auto"/>
            <w:hideMark/>
          </w:tcPr>
          <w:p w:rsidR="00913351" w:rsidRPr="006A6CE3" w:rsidRDefault="00913351" w:rsidP="00E204D9">
            <w:pPr>
              <w:rPr>
                <w:rFonts w:cs="Arial"/>
                <w:sz w:val="22"/>
              </w:rPr>
            </w:pPr>
            <w:r w:rsidRPr="006A6CE3">
              <w:rPr>
                <w:rFonts w:cs="Arial"/>
                <w:sz w:val="22"/>
              </w:rPr>
              <w:t>1 October 2012 to 30 September  2013</w:t>
            </w:r>
          </w:p>
        </w:tc>
      </w:tr>
    </w:tbl>
    <w:p w:rsidR="00532C4B" w:rsidRDefault="00532C4B" w:rsidP="006E2B03">
      <w:pPr>
        <w:rPr>
          <w:rFonts w:cs="Arial"/>
        </w:rPr>
      </w:pPr>
    </w:p>
    <w:p w:rsidR="00913351" w:rsidRPr="006A6CE3" w:rsidRDefault="00913351" w:rsidP="006E2B03">
      <w:pPr>
        <w:rPr>
          <w:rFonts w:cs="Arial"/>
        </w:rPr>
      </w:pPr>
      <w:r w:rsidRPr="006A6CE3">
        <w:rPr>
          <w:rFonts w:cs="Arial"/>
        </w:rPr>
        <w:t>Depending on your financial year, your company might be required to report data on emissions that occurred before the regulation was made. If you do not have the information necessary to meet the regulatory requirement in the first reporting year, you must either:</w:t>
      </w:r>
    </w:p>
    <w:p w:rsidR="00913351" w:rsidRPr="006A6CE3" w:rsidRDefault="00913351" w:rsidP="0086258B">
      <w:pPr>
        <w:numPr>
          <w:ilvl w:val="0"/>
          <w:numId w:val="44"/>
        </w:numPr>
        <w:rPr>
          <w:rFonts w:cs="Arial"/>
        </w:rPr>
      </w:pPr>
      <w:proofErr w:type="gramStart"/>
      <w:r w:rsidRPr="006A6CE3">
        <w:rPr>
          <w:rFonts w:cs="Arial"/>
        </w:rPr>
        <w:t>provide</w:t>
      </w:r>
      <w:proofErr w:type="gramEnd"/>
      <w:r w:rsidRPr="006A6CE3">
        <w:rPr>
          <w:rFonts w:cs="Arial"/>
        </w:rPr>
        <w:t xml:space="preserve"> an estimation instead, based on extrapolating data that you do have, or use generic data that is not specific to your company. You are required to disclose your methodology and this would form part of your methodology; or</w:t>
      </w:r>
    </w:p>
    <w:p w:rsidR="00913351" w:rsidRPr="006A6CE3" w:rsidRDefault="00913351" w:rsidP="0086258B">
      <w:pPr>
        <w:numPr>
          <w:ilvl w:val="0"/>
          <w:numId w:val="44"/>
        </w:numPr>
        <w:rPr>
          <w:rFonts w:cs="Arial"/>
        </w:rPr>
      </w:pPr>
      <w:proofErr w:type="gramStart"/>
      <w:r w:rsidRPr="006A6CE3">
        <w:rPr>
          <w:rFonts w:cs="Arial"/>
        </w:rPr>
        <w:t>explain</w:t>
      </w:r>
      <w:proofErr w:type="gramEnd"/>
      <w:r w:rsidRPr="006A6CE3">
        <w:rPr>
          <w:rFonts w:cs="Arial"/>
        </w:rPr>
        <w:t xml:space="preserve"> why you are unable to provide 12 months’ data</w:t>
      </w:r>
      <w:r w:rsidRPr="006A6CE3">
        <w:rPr>
          <w:rStyle w:val="FootnoteReference"/>
          <w:rFonts w:cs="Arial"/>
        </w:rPr>
        <w:footnoteReference w:id="19"/>
      </w:r>
      <w:r w:rsidRPr="006A6CE3">
        <w:rPr>
          <w:rFonts w:cs="Arial"/>
        </w:rPr>
        <w:t>.</w:t>
      </w:r>
    </w:p>
    <w:p w:rsidR="00913351" w:rsidRPr="006A6CE3" w:rsidRDefault="00913351" w:rsidP="00BE3068">
      <w:pPr>
        <w:pStyle w:val="Heading2"/>
      </w:pPr>
      <w:bookmarkStart w:id="75" w:name="_Toc358302258"/>
      <w:bookmarkStart w:id="76" w:name="_Toc380763550"/>
      <w:r w:rsidRPr="006A6CE3">
        <w:t>What period should I collect data for?</w:t>
      </w:r>
      <w:bookmarkEnd w:id="75"/>
      <w:bookmarkEnd w:id="76"/>
      <w:r w:rsidRPr="006A6CE3">
        <w:t xml:space="preserve"> </w:t>
      </w:r>
    </w:p>
    <w:p w:rsidR="00913351" w:rsidRPr="006A6CE3" w:rsidRDefault="00913351" w:rsidP="006E2B03">
      <w:pPr>
        <w:rPr>
          <w:rFonts w:cs="Arial"/>
          <w:bCs/>
        </w:rPr>
      </w:pPr>
      <w:r w:rsidRPr="006A6CE3">
        <w:rPr>
          <w:rFonts w:cs="Arial"/>
          <w:bCs/>
        </w:rPr>
        <w:t>You should ideally report on emissions for the period corresponding with your company’s financial year.  You may report emissions for a different twelve month period to your financial year but you must state in the directors’ report if you have done so</w:t>
      </w:r>
      <w:r w:rsidRPr="006A6CE3">
        <w:rPr>
          <w:rStyle w:val="FootnoteReference"/>
          <w:rFonts w:cs="Arial"/>
          <w:bCs/>
        </w:rPr>
        <w:footnoteReference w:id="20"/>
      </w:r>
      <w:r w:rsidRPr="006A6CE3">
        <w:rPr>
          <w:rFonts w:cs="Arial"/>
          <w:bCs/>
        </w:rPr>
        <w:t xml:space="preserve">.  For example, </w:t>
      </w:r>
      <w:r w:rsidR="006E2B03" w:rsidRPr="006A6CE3">
        <w:rPr>
          <w:rFonts w:cs="Arial"/>
          <w:bCs/>
        </w:rPr>
        <w:t xml:space="preserve">company A historically reports </w:t>
      </w:r>
      <w:r w:rsidRPr="006A6CE3">
        <w:rPr>
          <w:rFonts w:cs="Arial"/>
          <w:bCs/>
        </w:rPr>
        <w:t xml:space="preserve">emissions data on a calendar year basis whereas their financial year is April to March.  In this example company A could either continue to report emissions on a calendar basis or switch to reporting emissions on a financial year.  If you </w:t>
      </w:r>
      <w:r w:rsidRPr="006A6CE3">
        <w:rPr>
          <w:rFonts w:cs="Arial"/>
          <w:bCs/>
        </w:rPr>
        <w:lastRenderedPageBreak/>
        <w:t>report emissions for a different period to your financial year, the majority of your emission reporting year should still fall within the period in directors’ report.</w:t>
      </w:r>
    </w:p>
    <w:p w:rsidR="00913351" w:rsidRPr="006A6CE3" w:rsidRDefault="00151A25" w:rsidP="00E204D9">
      <w:pPr>
        <w:rPr>
          <w:rFonts w:cs="Arial"/>
          <w:b/>
        </w:rPr>
      </w:pPr>
      <w:r>
        <w:rPr>
          <w:rFonts w:cs="Arial"/>
          <w:noProof/>
          <w:lang w:eastAsia="en-GB"/>
        </w:rPr>
        <mc:AlternateContent>
          <mc:Choice Requires="wps">
            <w:drawing>
              <wp:inline distT="0" distB="0" distL="0" distR="0" wp14:anchorId="2B3FB572" wp14:editId="462091D5">
                <wp:extent cx="5327015" cy="790575"/>
                <wp:effectExtent l="9525" t="9525" r="6985" b="9525"/>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015" cy="790575"/>
                        </a:xfrm>
                        <a:prstGeom prst="rect">
                          <a:avLst/>
                        </a:prstGeom>
                        <a:solidFill>
                          <a:srgbClr val="929309"/>
                        </a:solidFill>
                        <a:ln w="9525">
                          <a:solidFill>
                            <a:srgbClr val="000000"/>
                          </a:solidFill>
                          <a:miter lim="800000"/>
                          <a:headEnd/>
                          <a:tailEnd/>
                        </a:ln>
                      </wps:spPr>
                      <wps:txbx>
                        <w:txbxContent>
                          <w:p w:rsidR="0040731C" w:rsidRDefault="0040731C" w:rsidP="00913351">
                            <w:pPr>
                              <w:rPr>
                                <w:rFonts w:cs="Arial"/>
                                <w:color w:val="FFFFFF"/>
                              </w:rPr>
                            </w:pPr>
                            <w:r>
                              <w:rPr>
                                <w:rFonts w:cs="Arial"/>
                                <w:color w:val="FFFFFF"/>
                              </w:rPr>
                              <w:t>Quoted companies may use a reporting time period that does not correspond with their financial report, but must state if they have done so.</w:t>
                            </w:r>
                          </w:p>
                          <w:p w:rsidR="0040731C" w:rsidRDefault="0040731C" w:rsidP="00913351">
                            <w:pPr>
                              <w:rPr>
                                <w:rFonts w:cs="Arial"/>
                                <w:i/>
                                <w:sz w:val="20"/>
                              </w:rPr>
                            </w:pPr>
                          </w:p>
                        </w:txbxContent>
                      </wps:txbx>
                      <wps:bodyPr rot="0" vert="horz" wrap="square" lIns="91440" tIns="45720" rIns="91440" bIns="45720" anchor="t" anchorCtr="0" upright="1">
                        <a:noAutofit/>
                      </wps:bodyPr>
                    </wps:wsp>
                  </a:graphicData>
                </a:graphic>
              </wp:inline>
            </w:drawing>
          </mc:Choice>
          <mc:Fallback>
            <w:pict>
              <v:shape id="Text Box 36" o:spid="_x0000_s1027" type="#_x0000_t202" style="width:419.4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" fillcolor="#929309">
                <v:textbox>
                  <w:txbxContent>
                    <w:p w:rsidR="0040731C" w:rsidRDefault="0040731C" w:rsidP="00913351">
                      <w:pPr>
                        <w:rPr>
                          <w:rFonts w:cs="Arial"/>
                          <w:color w:val="FFFFFF"/>
                        </w:rPr>
                      </w:pPr>
                      <w:r>
                        <w:rPr>
                          <w:rFonts w:cs="Arial"/>
                          <w:color w:val="FFFFFF"/>
                        </w:rPr>
                        <w:t>Quoted companies may use a reporting time period that does not correspond with their financial report, but must state if they have done so.</w:t>
                      </w:r>
                    </w:p>
                    <w:p w:rsidR="0040731C" w:rsidRDefault="0040731C" w:rsidP="00913351">
                      <w:pPr>
                        <w:rPr>
                          <w:rFonts w:cs="Arial"/>
                          <w:i/>
                          <w:sz w:val="20"/>
                        </w:rPr>
                      </w:pPr>
                    </w:p>
                  </w:txbxContent>
                </v:textbox>
                <w10:anchorlock/>
              </v:shape>
            </w:pict>
          </mc:Fallback>
        </mc:AlternateContent>
      </w:r>
    </w:p>
    <w:p w:rsidR="00913351" w:rsidRPr="006A6CE3" w:rsidRDefault="00913351" w:rsidP="00BE3068">
      <w:pPr>
        <w:pStyle w:val="Heading2"/>
      </w:pPr>
      <w:bookmarkStart w:id="77" w:name="_Toc358302259"/>
      <w:bookmarkStart w:id="78" w:name="_Toc380763551"/>
      <w:r w:rsidRPr="006A6CE3">
        <w:t>What must my company report?</w:t>
      </w:r>
      <w:bookmarkEnd w:id="77"/>
      <w:bookmarkEnd w:id="78"/>
      <w:r w:rsidRPr="006A6CE3">
        <w:t xml:space="preserve"> </w:t>
      </w:r>
    </w:p>
    <w:p w:rsidR="00913351" w:rsidRPr="006A6CE3" w:rsidRDefault="00913351" w:rsidP="006E2B03">
      <w:pPr>
        <w:rPr>
          <w:rFonts w:cs="Arial"/>
        </w:rPr>
      </w:pPr>
      <w:r w:rsidRPr="006A6CE3">
        <w:rPr>
          <w:rFonts w:cs="Arial"/>
        </w:rPr>
        <w:t xml:space="preserve">Under the regulations quoted companies are required to report on their greenhouse gas emissions from activities for which they are responsible. Many companies have established reporting practices using GHG accounting methodologies such as the </w:t>
      </w:r>
      <w:hyperlink r:id="rId33" w:history="1">
        <w:r w:rsidRPr="006A6CE3">
          <w:rPr>
            <w:rStyle w:val="Hyperlink"/>
            <w:rFonts w:cs="Arial"/>
          </w:rPr>
          <w:t>GHG Protocol Corporate Standard</w:t>
        </w:r>
      </w:hyperlink>
      <w:r w:rsidRPr="006A6CE3">
        <w:rPr>
          <w:rFonts w:cs="Arial"/>
        </w:rPr>
        <w:t xml:space="preserve"> and </w:t>
      </w:r>
      <w:hyperlink r:id="rId34" w:history="1">
        <w:r w:rsidRPr="006A6CE3">
          <w:rPr>
            <w:rStyle w:val="Hyperlink"/>
            <w:rFonts w:cs="Arial"/>
          </w:rPr>
          <w:t>ISO 14064-1</w:t>
        </w:r>
      </w:hyperlink>
      <w:r w:rsidRPr="006A6CE3">
        <w:rPr>
          <w:rFonts w:cs="Arial"/>
        </w:rPr>
        <w:t>. These companies should satisfy themselves that their existing GHG accounting approaches cover emissions from activities for which they are responsible. The next step is to consider the requirements of the directors’ report as this is the context in which greenhouse gas emissions information must be reported. The directors’ report contains information relating to operations</w:t>
      </w:r>
      <w:r w:rsidRPr="006A6CE3">
        <w:rPr>
          <w:rStyle w:val="FootnoteReference"/>
          <w:rFonts w:cs="Arial"/>
        </w:rPr>
        <w:footnoteReference w:id="21"/>
      </w:r>
      <w:r w:rsidRPr="006A6CE3">
        <w:rPr>
          <w:rFonts w:cs="Arial"/>
        </w:rPr>
        <w:t xml:space="preserve"> covered by the consolidated financial statement.</w:t>
      </w:r>
      <w:r w:rsidR="007C6432">
        <w:rPr>
          <w:rFonts w:cs="Arial"/>
        </w:rPr>
        <w:t xml:space="preserve">  That includes their operations both in the UK and abroad.</w:t>
      </w:r>
    </w:p>
    <w:p w:rsidR="00913351" w:rsidRPr="006A6CE3" w:rsidRDefault="00913351" w:rsidP="006E2B03">
      <w:pPr>
        <w:rPr>
          <w:rFonts w:cs="Arial"/>
        </w:rPr>
      </w:pPr>
      <w:r w:rsidRPr="006A6CE3">
        <w:rPr>
          <w:rFonts w:cs="Arial"/>
        </w:rPr>
        <w:t>If companies consider that reporting emissions from activities for which they are responsible means that they will:</w:t>
      </w:r>
    </w:p>
    <w:p w:rsidR="00913351" w:rsidRPr="006A6CE3" w:rsidRDefault="00913351" w:rsidP="0086258B">
      <w:pPr>
        <w:numPr>
          <w:ilvl w:val="0"/>
          <w:numId w:val="45"/>
        </w:numPr>
        <w:rPr>
          <w:rFonts w:cs="Arial"/>
          <w:sz w:val="20"/>
        </w:rPr>
      </w:pPr>
      <w:r w:rsidRPr="006A6CE3">
        <w:rPr>
          <w:rFonts w:cs="Arial"/>
        </w:rPr>
        <w:t>Not report on GHG emissions from certain operations covered by the consolidated financial statement; or</w:t>
      </w:r>
    </w:p>
    <w:p w:rsidR="00913351" w:rsidRPr="006A6CE3" w:rsidRDefault="00913351" w:rsidP="0086258B">
      <w:pPr>
        <w:numPr>
          <w:ilvl w:val="0"/>
          <w:numId w:val="45"/>
        </w:numPr>
        <w:rPr>
          <w:rFonts w:cs="Arial"/>
          <w:sz w:val="20"/>
        </w:rPr>
      </w:pPr>
      <w:r w:rsidRPr="006A6CE3">
        <w:rPr>
          <w:rFonts w:cs="Arial"/>
        </w:rPr>
        <w:t>Report on GHG emissions from operations that are not included in this statement</w:t>
      </w:r>
    </w:p>
    <w:p w:rsidR="00913351" w:rsidRPr="006A6CE3" w:rsidRDefault="00913351" w:rsidP="006E2B03">
      <w:pPr>
        <w:rPr>
          <w:rFonts w:cs="Arial"/>
          <w:szCs w:val="24"/>
        </w:rPr>
      </w:pPr>
      <w:proofErr w:type="gramStart"/>
      <w:r w:rsidRPr="006A6CE3">
        <w:rPr>
          <w:rFonts w:cs="Arial"/>
          <w:szCs w:val="24"/>
        </w:rPr>
        <w:t>they</w:t>
      </w:r>
      <w:proofErr w:type="gramEnd"/>
      <w:r w:rsidRPr="006A6CE3">
        <w:rPr>
          <w:rFonts w:cs="Arial"/>
          <w:szCs w:val="24"/>
        </w:rPr>
        <w:t xml:space="preserve"> must make this clear.  </w:t>
      </w:r>
    </w:p>
    <w:p w:rsidR="00913351" w:rsidRPr="006A6CE3" w:rsidRDefault="00913351" w:rsidP="006E2B03">
      <w:pPr>
        <w:rPr>
          <w:rFonts w:cs="Arial"/>
          <w:szCs w:val="24"/>
        </w:rPr>
      </w:pPr>
      <w:r w:rsidRPr="006A6CE3">
        <w:rPr>
          <w:rFonts w:cs="Arial"/>
          <w:szCs w:val="24"/>
        </w:rPr>
        <w:t>Readers of the emissions data should have a clear understanding of the operations for which emissions data has been reported and if and how this differs from operations within the consolidated financial statement.</w:t>
      </w:r>
    </w:p>
    <w:p w:rsidR="00913351" w:rsidRDefault="00913351" w:rsidP="006E2B03">
      <w:pPr>
        <w:rPr>
          <w:rFonts w:cs="Arial"/>
          <w:szCs w:val="24"/>
        </w:rPr>
      </w:pPr>
      <w:r w:rsidRPr="006A6CE3">
        <w:rPr>
          <w:rFonts w:cs="Arial"/>
          <w:szCs w:val="24"/>
        </w:rPr>
        <w:t xml:space="preserve">For example, you may conclude that you have responsibility for the GHG emissions of one of your associate undertakings, hence include them in your </w:t>
      </w:r>
      <w:r w:rsidRPr="006A6CE3">
        <w:rPr>
          <w:rFonts w:cs="Arial"/>
          <w:szCs w:val="24"/>
        </w:rPr>
        <w:lastRenderedPageBreak/>
        <w:t xml:space="preserve">inventory even though you do not consolidate but equity account for that associate in your consolidated accounts: you must explain this.  Alternatively you may consolidate a subsidiary for the purposes of preparing financial statements but conclude that you are not responsible for the greenhouse gas emissions from that subsidiary (because for example, the GHG-emitting activities have been outsourced and are under the control of a third party). In those circumstances you may exclude the GHG emissions from the directors’ report but you must explain why.  </w:t>
      </w:r>
    </w:p>
    <w:p w:rsidR="00913351" w:rsidRPr="006A6CE3" w:rsidRDefault="00151A25" w:rsidP="00E204D9">
      <w:pPr>
        <w:rPr>
          <w:rFonts w:cs="Arial"/>
          <w:b/>
          <w:highlight w:val="yellow"/>
        </w:rPr>
      </w:pPr>
      <w:r>
        <w:rPr>
          <w:rFonts w:cs="Arial"/>
          <w:noProof/>
          <w:lang w:eastAsia="en-GB"/>
        </w:rPr>
        <mc:AlternateContent>
          <mc:Choice Requires="wps">
            <w:drawing>
              <wp:inline distT="0" distB="0" distL="0" distR="0" wp14:anchorId="6A8773CA" wp14:editId="6971FD4C">
                <wp:extent cx="5327015" cy="791845"/>
                <wp:effectExtent l="9525" t="9525" r="6985" b="8255"/>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015" cy="791845"/>
                        </a:xfrm>
                        <a:prstGeom prst="rect">
                          <a:avLst/>
                        </a:prstGeom>
                        <a:solidFill>
                          <a:srgbClr val="929309"/>
                        </a:solidFill>
                        <a:ln w="9525">
                          <a:solidFill>
                            <a:srgbClr val="000000"/>
                          </a:solidFill>
                          <a:miter lim="800000"/>
                          <a:headEnd/>
                          <a:tailEnd/>
                        </a:ln>
                      </wps:spPr>
                      <wps:txbx>
                        <w:txbxContent>
                          <w:p w:rsidR="0040731C" w:rsidRDefault="0040731C" w:rsidP="00913351">
                            <w:pPr>
                              <w:rPr>
                                <w:rFonts w:cs="Arial"/>
                                <w:color w:val="FFFFFF"/>
                              </w:rPr>
                            </w:pPr>
                            <w:r>
                              <w:rPr>
                                <w:rFonts w:cs="Arial"/>
                                <w:color w:val="FFFFFF"/>
                              </w:rPr>
                              <w:t>Quoted companies must report on emissions from activities for which they are responsible.</w:t>
                            </w:r>
                          </w:p>
                          <w:p w:rsidR="0040731C" w:rsidRDefault="0040731C" w:rsidP="00913351">
                            <w:pPr>
                              <w:rPr>
                                <w:rFonts w:cs="Arial"/>
                                <w:i/>
                                <w:sz w:val="20"/>
                              </w:rPr>
                            </w:pPr>
                          </w:p>
                        </w:txbxContent>
                      </wps:txbx>
                      <wps:bodyPr rot="0" vert="horz" wrap="square" lIns="91440" tIns="45720" rIns="91440" bIns="45720" anchor="t" anchorCtr="0" upright="1">
                        <a:noAutofit/>
                      </wps:bodyPr>
                    </wps:wsp>
                  </a:graphicData>
                </a:graphic>
              </wp:inline>
            </w:drawing>
          </mc:Choice>
          <mc:Fallback>
            <w:pict>
              <v:shape id="Text Box 35" o:spid="_x0000_s1028" type="#_x0000_t202" style="width:419.45pt;height:6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" fillcolor="#929309">
                <v:textbox>
                  <w:txbxContent>
                    <w:p w:rsidR="0040731C" w:rsidRDefault="0040731C" w:rsidP="00913351">
                      <w:pPr>
                        <w:rPr>
                          <w:rFonts w:cs="Arial"/>
                          <w:color w:val="FFFFFF"/>
                        </w:rPr>
                      </w:pPr>
                      <w:r>
                        <w:rPr>
                          <w:rFonts w:cs="Arial"/>
                          <w:color w:val="FFFFFF"/>
                        </w:rPr>
                        <w:t>Quoted companies must report on emissions from activities for which they are responsible.</w:t>
                      </w:r>
                    </w:p>
                    <w:p w:rsidR="0040731C" w:rsidRDefault="0040731C" w:rsidP="00913351">
                      <w:pPr>
                        <w:rPr>
                          <w:rFonts w:cs="Arial"/>
                          <w:i/>
                          <w:sz w:val="20"/>
                        </w:rPr>
                      </w:pPr>
                    </w:p>
                  </w:txbxContent>
                </v:textbox>
                <w10:anchorlock/>
              </v:shape>
            </w:pict>
          </mc:Fallback>
        </mc:AlternateContent>
      </w:r>
    </w:p>
    <w:p w:rsidR="00913351" w:rsidRPr="006A6CE3" w:rsidRDefault="00913351" w:rsidP="00BE3068">
      <w:pPr>
        <w:pStyle w:val="Heading2"/>
      </w:pPr>
      <w:bookmarkStart w:id="79" w:name="_Toc358302260"/>
      <w:bookmarkStart w:id="80" w:name="_Toc380763552"/>
      <w:r w:rsidRPr="006A6CE3">
        <w:t>Must I report all my emissions?</w:t>
      </w:r>
      <w:bookmarkEnd w:id="79"/>
      <w:bookmarkEnd w:id="80"/>
    </w:p>
    <w:p w:rsidR="00913351" w:rsidRPr="006A6CE3" w:rsidRDefault="00913351" w:rsidP="006E2B03">
      <w:pPr>
        <w:rPr>
          <w:rFonts w:cs="Arial"/>
        </w:rPr>
      </w:pPr>
      <w:r w:rsidRPr="006A6CE3">
        <w:rPr>
          <w:rFonts w:cs="Arial"/>
        </w:rPr>
        <w:t>You are required to quantify and report on emissions of the following greenhouse gases</w:t>
      </w:r>
      <w:r w:rsidRPr="006A6CE3">
        <w:rPr>
          <w:rStyle w:val="FootnoteReference"/>
          <w:rFonts w:cs="Arial"/>
        </w:rPr>
        <w:footnoteReference w:id="22"/>
      </w:r>
      <w:r w:rsidRPr="006A6CE3">
        <w:rPr>
          <w:rFonts w:cs="Arial"/>
        </w:rPr>
        <w:t xml:space="preserve"> - carbon dioxide (CO</w:t>
      </w:r>
      <w:r w:rsidRPr="006A6CE3">
        <w:rPr>
          <w:rFonts w:cs="Arial"/>
          <w:vertAlign w:val="subscript"/>
        </w:rPr>
        <w:t>2</w:t>
      </w:r>
      <w:r w:rsidRPr="006A6CE3">
        <w:rPr>
          <w:rFonts w:cs="Arial"/>
        </w:rPr>
        <w:t>), methane (CH</w:t>
      </w:r>
      <w:r w:rsidRPr="006A6CE3">
        <w:rPr>
          <w:rFonts w:cs="Arial"/>
          <w:vertAlign w:val="subscript"/>
        </w:rPr>
        <w:t>4</w:t>
      </w:r>
      <w:r w:rsidRPr="006A6CE3">
        <w:rPr>
          <w:rFonts w:cs="Arial"/>
        </w:rPr>
        <w:t>), nitrous oxide (N</w:t>
      </w:r>
      <w:r w:rsidRPr="006A6CE3">
        <w:rPr>
          <w:rFonts w:cs="Arial"/>
          <w:vertAlign w:val="subscript"/>
        </w:rPr>
        <w:t>2</w:t>
      </w:r>
      <w:r w:rsidRPr="006A6CE3">
        <w:rPr>
          <w:rFonts w:cs="Arial"/>
        </w:rPr>
        <w:t xml:space="preserve">O), </w:t>
      </w:r>
      <w:proofErr w:type="spellStart"/>
      <w:r w:rsidRPr="006A6CE3">
        <w:rPr>
          <w:rFonts w:cs="Arial"/>
        </w:rPr>
        <w:t>hydrofluorocarbons</w:t>
      </w:r>
      <w:proofErr w:type="spellEnd"/>
      <w:r w:rsidRPr="006A6CE3">
        <w:rPr>
          <w:rFonts w:cs="Arial"/>
        </w:rPr>
        <w:t xml:space="preserve"> (HFCs), </w:t>
      </w:r>
      <w:proofErr w:type="spellStart"/>
      <w:r w:rsidRPr="006A6CE3">
        <w:rPr>
          <w:rFonts w:cs="Arial"/>
        </w:rPr>
        <w:t>perfluorocarbons</w:t>
      </w:r>
      <w:proofErr w:type="spellEnd"/>
      <w:r w:rsidRPr="006A6CE3">
        <w:rPr>
          <w:rFonts w:cs="Arial"/>
        </w:rPr>
        <w:t xml:space="preserve"> (PFCs) and sulphur hexafluoride (SF</w:t>
      </w:r>
      <w:r w:rsidRPr="006A6CE3">
        <w:rPr>
          <w:rFonts w:cs="Arial"/>
          <w:vertAlign w:val="subscript"/>
        </w:rPr>
        <w:t>6</w:t>
      </w:r>
      <w:r w:rsidRPr="006A6CE3">
        <w:rPr>
          <w:rFonts w:cs="Arial"/>
        </w:rPr>
        <w:t xml:space="preserve">). (But see later guidance for a discussion of materiality.)    </w:t>
      </w:r>
    </w:p>
    <w:p w:rsidR="00913351" w:rsidRPr="006A6CE3" w:rsidRDefault="00913351" w:rsidP="006E2B03">
      <w:pPr>
        <w:rPr>
          <w:rFonts w:cs="Arial"/>
        </w:rPr>
      </w:pPr>
      <w:r w:rsidRPr="006A6CE3">
        <w:rPr>
          <w:rFonts w:cs="Arial"/>
        </w:rPr>
        <w:t>You are not required to give individual figures for emissions of each of the GHGs listed. Indeed few companies will emit all of the GHGs listed. However, you must state in your directors’ report the annual quantity of GHG emissions in tonnes</w:t>
      </w:r>
      <w:r w:rsidRPr="006A6CE3">
        <w:rPr>
          <w:rStyle w:val="FootnoteReference"/>
          <w:rFonts w:cs="Arial"/>
        </w:rPr>
        <w:footnoteReference w:id="23"/>
      </w:r>
      <w:r w:rsidRPr="006A6CE3">
        <w:rPr>
          <w:rFonts w:cs="Arial"/>
        </w:rPr>
        <w:t xml:space="preserve"> of carbon dioxide equivalent</w:t>
      </w:r>
      <w:r w:rsidRPr="006A6CE3">
        <w:rPr>
          <w:rStyle w:val="FootnoteReference"/>
          <w:rFonts w:cs="Arial"/>
        </w:rPr>
        <w:footnoteReference w:id="24"/>
      </w:r>
      <w:r w:rsidRPr="006A6CE3">
        <w:rPr>
          <w:rFonts w:cs="Arial"/>
        </w:rPr>
        <w:t xml:space="preserve"> (CO</w:t>
      </w:r>
      <w:r w:rsidRPr="006A6CE3">
        <w:rPr>
          <w:rFonts w:cs="Arial"/>
          <w:vertAlign w:val="subscript"/>
        </w:rPr>
        <w:t>2</w:t>
      </w:r>
      <w:r w:rsidRPr="006A6CE3">
        <w:rPr>
          <w:rFonts w:cs="Arial"/>
        </w:rPr>
        <w:t>e) from the following emission sources</w:t>
      </w:r>
      <w:r w:rsidRPr="006A6CE3">
        <w:rPr>
          <w:rStyle w:val="FootnoteReference"/>
          <w:rFonts w:cs="Arial"/>
        </w:rPr>
        <w:footnoteReference w:id="25"/>
      </w:r>
      <w:r w:rsidRPr="006A6CE3">
        <w:rPr>
          <w:rFonts w:cs="Arial"/>
        </w:rPr>
        <w:t xml:space="preserve">: </w:t>
      </w:r>
    </w:p>
    <w:p w:rsidR="00913351" w:rsidRPr="006A6CE3" w:rsidRDefault="00913351" w:rsidP="0086258B">
      <w:pPr>
        <w:numPr>
          <w:ilvl w:val="0"/>
          <w:numId w:val="47"/>
        </w:numPr>
        <w:rPr>
          <w:rFonts w:cs="Arial"/>
          <w:szCs w:val="24"/>
        </w:rPr>
      </w:pPr>
      <w:r w:rsidRPr="006A6CE3">
        <w:rPr>
          <w:rFonts w:cs="Arial"/>
          <w:szCs w:val="24"/>
        </w:rPr>
        <w:t xml:space="preserve">the combustion of fuel, e.g.: </w:t>
      </w:r>
    </w:p>
    <w:p w:rsidR="00913351" w:rsidRPr="006A6CE3" w:rsidRDefault="00913351" w:rsidP="0086258B">
      <w:pPr>
        <w:numPr>
          <w:ilvl w:val="0"/>
          <w:numId w:val="46"/>
        </w:numPr>
        <w:rPr>
          <w:rFonts w:cs="Arial"/>
          <w:szCs w:val="24"/>
        </w:rPr>
      </w:pPr>
      <w:r w:rsidRPr="006A6CE3">
        <w:rPr>
          <w:rFonts w:cs="Arial"/>
          <w:szCs w:val="24"/>
        </w:rPr>
        <w:t>Stationary combustion: combustion of fuels in stationary equipment such as boilers, furnaces, burners, turbines, heaters, incinerators, engines, flares, etc.</w:t>
      </w:r>
    </w:p>
    <w:p w:rsidR="00913351" w:rsidRPr="006A6CE3" w:rsidRDefault="00913351" w:rsidP="0086258B">
      <w:pPr>
        <w:numPr>
          <w:ilvl w:val="0"/>
          <w:numId w:val="46"/>
        </w:numPr>
        <w:rPr>
          <w:rFonts w:cs="Arial"/>
          <w:szCs w:val="24"/>
        </w:rPr>
      </w:pPr>
      <w:r w:rsidRPr="006A6CE3">
        <w:rPr>
          <w:rFonts w:cs="Arial"/>
          <w:szCs w:val="24"/>
        </w:rPr>
        <w:t>Mobile combustion: combustion of fuels in transportation devices such as automobiles, trucks, buses, trains, airplanes, boats, ships, barges, vessels, etc.</w:t>
      </w:r>
    </w:p>
    <w:p w:rsidR="00913351" w:rsidRPr="006A6CE3" w:rsidRDefault="006E2B03" w:rsidP="0086258B">
      <w:pPr>
        <w:numPr>
          <w:ilvl w:val="0"/>
          <w:numId w:val="47"/>
        </w:numPr>
        <w:rPr>
          <w:rFonts w:cs="Arial"/>
          <w:szCs w:val="24"/>
        </w:rPr>
      </w:pPr>
      <w:r w:rsidRPr="006A6CE3">
        <w:rPr>
          <w:rFonts w:cs="Arial"/>
          <w:szCs w:val="24"/>
        </w:rPr>
        <w:lastRenderedPageBreak/>
        <w:t>the operation of any facility</w:t>
      </w:r>
    </w:p>
    <w:p w:rsidR="00913351" w:rsidRPr="006A6CE3" w:rsidRDefault="00913351" w:rsidP="006E2B03">
      <w:pPr>
        <w:rPr>
          <w:rFonts w:cs="Arial"/>
          <w:bCs/>
        </w:rPr>
      </w:pPr>
      <w:r w:rsidRPr="006A6CE3">
        <w:rPr>
          <w:rFonts w:cs="Arial"/>
        </w:rPr>
        <w:t xml:space="preserve">This category is not limited to emission sources that are permanent or land-based or stationary. This category would also include emission sources that are:  mobile; temporary e.g. mobile offices; and marine-based e.g. oil production platforms.  </w:t>
      </w:r>
      <w:r w:rsidRPr="006A6CE3">
        <w:rPr>
          <w:rFonts w:cs="Arial"/>
          <w:bCs/>
        </w:rPr>
        <w:t>The following types of sources of emissions should be considered when identifying emissions on which to report</w:t>
      </w:r>
      <w:r w:rsidRPr="006A6CE3">
        <w:rPr>
          <w:rStyle w:val="FootnoteReference"/>
          <w:rFonts w:cs="Arial"/>
          <w:bCs/>
        </w:rPr>
        <w:footnoteReference w:id="26"/>
      </w:r>
      <w:r w:rsidRPr="006A6CE3">
        <w:rPr>
          <w:rFonts w:cs="Arial"/>
          <w:bCs/>
        </w:rPr>
        <w:t xml:space="preserve">: </w:t>
      </w:r>
    </w:p>
    <w:p w:rsidR="00913351" w:rsidRPr="006A6CE3" w:rsidRDefault="00913351" w:rsidP="0086258B">
      <w:pPr>
        <w:numPr>
          <w:ilvl w:val="0"/>
          <w:numId w:val="48"/>
        </w:numPr>
        <w:rPr>
          <w:rFonts w:cs="Arial"/>
        </w:rPr>
      </w:pPr>
      <w:r w:rsidRPr="006A6CE3">
        <w:rPr>
          <w:rFonts w:cs="Arial"/>
          <w:b/>
        </w:rPr>
        <w:t>Process emissions:</w:t>
      </w:r>
      <w:r w:rsidRPr="006A6CE3">
        <w:rPr>
          <w:rFonts w:cs="Arial"/>
        </w:rPr>
        <w:t xml:space="preserve"> emissions from physical or chemical processes such as CO</w:t>
      </w:r>
      <w:r w:rsidRPr="006A6CE3">
        <w:rPr>
          <w:rFonts w:cs="Arial"/>
          <w:bCs/>
          <w:vertAlign w:val="subscript"/>
        </w:rPr>
        <w:t>2</w:t>
      </w:r>
      <w:r w:rsidRPr="006A6CE3">
        <w:rPr>
          <w:rFonts w:cs="Arial"/>
          <w:bCs/>
        </w:rPr>
        <w:t xml:space="preserve"> </w:t>
      </w:r>
      <w:r w:rsidRPr="006A6CE3">
        <w:rPr>
          <w:rFonts w:cs="Arial"/>
        </w:rPr>
        <w:t>from the calcination step in cement manufacturing, CO</w:t>
      </w:r>
      <w:r w:rsidRPr="006A6CE3">
        <w:rPr>
          <w:rFonts w:cs="Arial"/>
          <w:bCs/>
          <w:vertAlign w:val="subscript"/>
        </w:rPr>
        <w:t xml:space="preserve">2 </w:t>
      </w:r>
      <w:r w:rsidRPr="006A6CE3">
        <w:rPr>
          <w:rFonts w:cs="Arial"/>
        </w:rPr>
        <w:t>from catalytic cracking in petrochemical processing, PFC emissions from alumin</w:t>
      </w:r>
      <w:r w:rsidR="009C72E8">
        <w:rPr>
          <w:rFonts w:cs="Arial"/>
        </w:rPr>
        <w:t>i</w:t>
      </w:r>
      <w:r w:rsidRPr="006A6CE3">
        <w:rPr>
          <w:rFonts w:cs="Arial"/>
        </w:rPr>
        <w:t>um smelting, etc.</w:t>
      </w:r>
    </w:p>
    <w:p w:rsidR="00913351" w:rsidRPr="006A6CE3" w:rsidRDefault="00913351" w:rsidP="0086258B">
      <w:pPr>
        <w:numPr>
          <w:ilvl w:val="0"/>
          <w:numId w:val="48"/>
        </w:numPr>
        <w:rPr>
          <w:rFonts w:cs="Arial"/>
        </w:rPr>
      </w:pPr>
      <w:r w:rsidRPr="006A6CE3">
        <w:rPr>
          <w:rFonts w:cs="Arial"/>
          <w:b/>
        </w:rPr>
        <w:t>Fugitive emissions:</w:t>
      </w:r>
      <w:r w:rsidRPr="006A6CE3">
        <w:rPr>
          <w:rFonts w:cs="Arial"/>
        </w:rPr>
        <w:t xml:space="preserve"> intentional and unintentional releases such as equipment leaks from joints, seals, packing, gaskets, as well as fugitive emissions from coal piles, wastewater treatment, pits, cooling towers, gas processing facilities, etc.</w:t>
      </w:r>
    </w:p>
    <w:p w:rsidR="006E2B03" w:rsidRPr="006A6CE3" w:rsidRDefault="00913351" w:rsidP="0086258B">
      <w:pPr>
        <w:numPr>
          <w:ilvl w:val="0"/>
          <w:numId w:val="47"/>
        </w:numPr>
        <w:rPr>
          <w:rFonts w:cs="Arial"/>
          <w:szCs w:val="24"/>
        </w:rPr>
      </w:pPr>
      <w:r w:rsidRPr="006A6CE3">
        <w:rPr>
          <w:rFonts w:cs="Arial"/>
          <w:szCs w:val="24"/>
        </w:rPr>
        <w:t>a separate figure giving the annual quantity of emissions in tonnes of carbon dioxide equivalent resulting from the purchase of electricity, heat, steam or cooling by the company for its own use.</w:t>
      </w:r>
      <w:r w:rsidRPr="006A6CE3">
        <w:rPr>
          <w:rStyle w:val="FootnoteReference"/>
          <w:rFonts w:cs="Arial"/>
          <w:szCs w:val="24"/>
        </w:rPr>
        <w:footnoteReference w:id="27"/>
      </w:r>
      <w:r w:rsidRPr="006A6CE3">
        <w:rPr>
          <w:rFonts w:cs="Arial"/>
          <w:szCs w:val="24"/>
        </w:rPr>
        <w:t xml:space="preserve"> </w:t>
      </w:r>
    </w:p>
    <w:p w:rsidR="006E2B03" w:rsidRPr="006A6CE3" w:rsidRDefault="00913351" w:rsidP="006E2B03">
      <w:pPr>
        <w:ind w:left="720"/>
        <w:rPr>
          <w:rFonts w:cs="Arial"/>
          <w:szCs w:val="24"/>
        </w:rPr>
      </w:pPr>
      <w:r w:rsidRPr="006A6CE3">
        <w:rPr>
          <w:rFonts w:cs="Arial"/>
        </w:rPr>
        <w:t>In the case of companies that are lessees of an emission source, they should decide if they have responsibility for that emission sources e.g. electricity</w:t>
      </w:r>
      <w:r w:rsidRPr="006A6CE3">
        <w:rPr>
          <w:rStyle w:val="FootnoteReference"/>
          <w:rFonts w:cs="Arial"/>
          <w:szCs w:val="24"/>
        </w:rPr>
        <w:footnoteReference w:id="28"/>
      </w:r>
      <w:r w:rsidRPr="006A6CE3">
        <w:rPr>
          <w:rFonts w:cs="Arial"/>
        </w:rPr>
        <w:t xml:space="preserve"> use within the building.  This determines whether companies must report emissions associated with the electricity</w:t>
      </w:r>
      <w:r w:rsidRPr="006A6CE3">
        <w:rPr>
          <w:rStyle w:val="FootnoteReference"/>
          <w:rFonts w:cs="Arial"/>
          <w:szCs w:val="24"/>
        </w:rPr>
        <w:footnoteReference w:id="29"/>
      </w:r>
      <w:r w:rsidRPr="006A6CE3">
        <w:rPr>
          <w:rFonts w:cs="Arial"/>
        </w:rPr>
        <w:t xml:space="preserve">, rather than their method of payment. (Refer to earlier section on “What must my company report” for a discussion on boundaries of reporting).  </w:t>
      </w:r>
    </w:p>
    <w:p w:rsidR="00913351" w:rsidRPr="006A6CE3" w:rsidRDefault="00913351" w:rsidP="006E2B03">
      <w:pPr>
        <w:ind w:left="720"/>
        <w:rPr>
          <w:rFonts w:cs="Arial"/>
          <w:szCs w:val="24"/>
        </w:rPr>
      </w:pPr>
      <w:r w:rsidRPr="006A6CE3">
        <w:rPr>
          <w:rFonts w:cs="Arial"/>
        </w:rPr>
        <w:t xml:space="preserve">If you decide that you do have responsibility for emissions either as a lessee or as a lessor, but cannot get the consumption data necessary to calculate the emissions, then you may either estimate the emissions </w:t>
      </w:r>
      <w:r w:rsidRPr="006A6CE3">
        <w:rPr>
          <w:rFonts w:cs="Arial"/>
        </w:rPr>
        <w:lastRenderedPageBreak/>
        <w:t xml:space="preserve">or state that emissions from the building are excluded and explain why (see the section on “Comply or explain”).   </w:t>
      </w:r>
    </w:p>
    <w:p w:rsidR="00913351" w:rsidRPr="006A6CE3" w:rsidRDefault="00913351" w:rsidP="006E2B03">
      <w:pPr>
        <w:rPr>
          <w:rFonts w:cs="Arial"/>
        </w:rPr>
      </w:pPr>
      <w:r w:rsidRPr="006A6CE3">
        <w:rPr>
          <w:rFonts w:cs="Arial"/>
        </w:rPr>
        <w:t xml:space="preserve">The totals arrived at from the above are similar respectively to scopes 1 and 2 of the GHG Protocol Corporate Standard and the direct emissions and energy indirect emission categories of ISO 16064-1. </w:t>
      </w:r>
    </w:p>
    <w:p w:rsidR="00913351" w:rsidRPr="006A6CE3" w:rsidRDefault="00913351" w:rsidP="006E2B03">
      <w:pPr>
        <w:rPr>
          <w:rFonts w:cs="Arial"/>
        </w:rPr>
      </w:pPr>
      <w:r w:rsidRPr="006A6CE3">
        <w:rPr>
          <w:rFonts w:cs="Arial"/>
        </w:rPr>
        <w:t xml:space="preserve">You are </w:t>
      </w:r>
      <w:r w:rsidRPr="006A6CE3">
        <w:rPr>
          <w:rFonts w:cs="Arial"/>
          <w:b/>
        </w:rPr>
        <w:t>not</w:t>
      </w:r>
      <w:r w:rsidRPr="006A6CE3">
        <w:rPr>
          <w:rFonts w:cs="Arial"/>
        </w:rPr>
        <w:t xml:space="preserve"> required to report on other emissions associated with inputs into your company (such as emissions from your supply chain) or emissions linked with outputs from your company (such as emissions from your products when they are used by your customers). However, you should consider reporting these separately to give a wider picture of your organisation to investors and shareholders (See the recommendations on scope 3 emissions in the following chapter on voluntary reporting).  </w:t>
      </w:r>
    </w:p>
    <w:p w:rsidR="00913351" w:rsidRPr="006A6CE3" w:rsidRDefault="00913351" w:rsidP="006E2B03">
      <w:pPr>
        <w:rPr>
          <w:rFonts w:cs="Arial"/>
        </w:rPr>
      </w:pPr>
      <w:r w:rsidRPr="006A6CE3">
        <w:rPr>
          <w:rFonts w:cs="Arial"/>
        </w:rPr>
        <w:t xml:space="preserve">Having established the activities for which you are responsible, you may also wish to consider whether particular emissions are material to the total of your company emissions.  Materiality will depend on the circumstances of your individual company.  It will be influenced by issues such as the size and nature of an operation.  It is for you to judge whether an emission is material or not. </w:t>
      </w:r>
    </w:p>
    <w:p w:rsidR="00913351" w:rsidRPr="006A6CE3" w:rsidRDefault="00913351" w:rsidP="006E2B03">
      <w:pPr>
        <w:rPr>
          <w:rFonts w:cs="Arial"/>
        </w:rPr>
      </w:pPr>
      <w:proofErr w:type="gramStart"/>
      <w:r w:rsidRPr="006A6CE3">
        <w:rPr>
          <w:rFonts w:cs="Arial"/>
        </w:rPr>
        <w:t>The ‘</w:t>
      </w:r>
      <w:r w:rsidRPr="006A6CE3">
        <w:rPr>
          <w:rFonts w:cs="Arial"/>
          <w:i/>
        </w:rPr>
        <w:t>characteristics of materiality aim to provide a ‘workable filter on information, allowing investors to see major trends and significant events’</w:t>
      </w:r>
      <w:r w:rsidRPr="006A6CE3">
        <w:rPr>
          <w:rStyle w:val="FootnoteReference"/>
          <w:rFonts w:cs="Arial"/>
          <w:i/>
        </w:rPr>
        <w:footnoteReference w:id="30"/>
      </w:r>
      <w:r w:rsidRPr="006A6CE3">
        <w:rPr>
          <w:rFonts w:cs="Arial"/>
        </w:rPr>
        <w:t xml:space="preserve"> and eliminate ‘</w:t>
      </w:r>
      <w:r w:rsidRPr="006A6CE3">
        <w:rPr>
          <w:rFonts w:cs="Arial"/>
          <w:i/>
        </w:rPr>
        <w:t>immaterial clutter’</w:t>
      </w:r>
      <w:r w:rsidRPr="006A6CE3">
        <w:rPr>
          <w:rFonts w:cs="Arial"/>
        </w:rPr>
        <w:t xml:space="preserve"> and ‘</w:t>
      </w:r>
      <w:r w:rsidRPr="006A6CE3">
        <w:rPr>
          <w:rFonts w:cs="Arial"/>
          <w:i/>
        </w:rPr>
        <w:t>unnecessary or duplicative detail that obscures major trends and events</w:t>
      </w:r>
      <w:r w:rsidRPr="006A6CE3">
        <w:rPr>
          <w:rFonts w:cs="Arial"/>
        </w:rPr>
        <w:t>’</w:t>
      </w:r>
      <w:r w:rsidRPr="006A6CE3">
        <w:rPr>
          <w:rStyle w:val="FootnoteReference"/>
          <w:rFonts w:cs="Arial"/>
        </w:rPr>
        <w:footnoteReference w:id="31"/>
      </w:r>
      <w:r w:rsidRPr="006A6CE3">
        <w:rPr>
          <w:rFonts w:cs="Arial"/>
        </w:rPr>
        <w:t>.</w:t>
      </w:r>
      <w:proofErr w:type="gramEnd"/>
      <w:r w:rsidRPr="006A6CE3">
        <w:rPr>
          <w:rFonts w:cs="Arial"/>
        </w:rPr>
        <w:t xml:space="preserve">  In considering which emissions </w:t>
      </w:r>
      <w:proofErr w:type="gramStart"/>
      <w:r w:rsidRPr="006A6CE3">
        <w:rPr>
          <w:rFonts w:cs="Arial"/>
        </w:rPr>
        <w:t>are material</w:t>
      </w:r>
      <w:proofErr w:type="gramEnd"/>
      <w:r w:rsidRPr="006A6CE3">
        <w:rPr>
          <w:rFonts w:cs="Arial"/>
        </w:rPr>
        <w:t xml:space="preserve"> to your company, you may wish to consider whether the collection and reporting of certain emissions or operations would provide additional value for users in the context of your company’s overall emissions data and management. </w:t>
      </w:r>
    </w:p>
    <w:p w:rsidR="00913351" w:rsidRPr="006A6CE3" w:rsidRDefault="00913351" w:rsidP="006E2B03">
      <w:pPr>
        <w:rPr>
          <w:rFonts w:cs="Arial"/>
        </w:rPr>
      </w:pPr>
    </w:p>
    <w:p w:rsidR="00913351" w:rsidRPr="006A6CE3" w:rsidRDefault="00913351" w:rsidP="00BE3068">
      <w:pPr>
        <w:pStyle w:val="Heading2"/>
      </w:pPr>
      <w:bookmarkStart w:id="81" w:name="_Toc358302261"/>
      <w:bookmarkStart w:id="82" w:name="_Toc380763553"/>
      <w:r w:rsidRPr="006A6CE3">
        <w:t>Comply or explain</w:t>
      </w:r>
      <w:bookmarkEnd w:id="81"/>
      <w:bookmarkEnd w:id="82"/>
    </w:p>
    <w:p w:rsidR="00913351" w:rsidRPr="006A6CE3" w:rsidRDefault="00913351" w:rsidP="006E2B03">
      <w:pPr>
        <w:rPr>
          <w:rFonts w:cs="Arial"/>
        </w:rPr>
      </w:pPr>
      <w:r w:rsidRPr="006A6CE3">
        <w:rPr>
          <w:rFonts w:cs="Arial"/>
        </w:rPr>
        <w:t xml:space="preserve">You must make every reasonable effort to acquire all material data to comply with the regulations.  However, there may be circumstance where you find it difficult to compile all necessary data in a timely manner to comply with </w:t>
      </w:r>
      <w:r w:rsidRPr="006A6CE3">
        <w:rPr>
          <w:rFonts w:cs="Arial"/>
        </w:rPr>
        <w:lastRenderedPageBreak/>
        <w:t xml:space="preserve">reporting requirements, e.g.  </w:t>
      </w:r>
      <w:proofErr w:type="gramStart"/>
      <w:r w:rsidRPr="006A6CE3">
        <w:rPr>
          <w:rFonts w:cs="Arial"/>
        </w:rPr>
        <w:t>because</w:t>
      </w:r>
      <w:proofErr w:type="gramEnd"/>
      <w:r w:rsidRPr="006A6CE3">
        <w:rPr>
          <w:rFonts w:cs="Arial"/>
        </w:rPr>
        <w:t xml:space="preserve"> of significant restructuring or acquisitions by your company in the run up to producing your directors’ report.  </w:t>
      </w:r>
    </w:p>
    <w:p w:rsidR="00913351" w:rsidRPr="006A6CE3" w:rsidRDefault="00913351" w:rsidP="006E2B03">
      <w:pPr>
        <w:rPr>
          <w:rFonts w:cs="Arial"/>
        </w:rPr>
      </w:pPr>
      <w:r w:rsidRPr="006A6CE3">
        <w:rPr>
          <w:rFonts w:cs="Arial"/>
        </w:rPr>
        <w:t>Should you be in the situation where you cannot report on all material emissions for which you have responsibility, you must state what is omitted and explain why in your directors’ report</w:t>
      </w:r>
      <w:r w:rsidRPr="006A6CE3">
        <w:rPr>
          <w:rStyle w:val="FootnoteReference"/>
          <w:rFonts w:cs="Arial"/>
        </w:rPr>
        <w:footnoteReference w:id="32"/>
      </w:r>
      <w:r w:rsidRPr="006A6CE3">
        <w:rPr>
          <w:rFonts w:cs="Arial"/>
        </w:rPr>
        <w:t xml:space="preserve">.  It is recommended that you set out the steps you are taking to acquire the information. </w:t>
      </w:r>
    </w:p>
    <w:p w:rsidR="00913351" w:rsidRPr="006A6CE3" w:rsidRDefault="00151A25" w:rsidP="00E204D9">
      <w:pPr>
        <w:rPr>
          <w:rFonts w:cs="Arial"/>
          <w:highlight w:val="yellow"/>
        </w:rPr>
      </w:pPr>
      <w:r>
        <w:rPr>
          <w:rFonts w:cs="Arial"/>
          <w:noProof/>
          <w:lang w:eastAsia="en-GB"/>
        </w:rPr>
        <mc:AlternateContent>
          <mc:Choice Requires="wps">
            <w:drawing>
              <wp:inline distT="0" distB="0" distL="0" distR="0" wp14:anchorId="550F428C" wp14:editId="4578CAF4">
                <wp:extent cx="5327015" cy="1444625"/>
                <wp:effectExtent l="9525" t="9525" r="6985" b="12700"/>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015" cy="1444625"/>
                        </a:xfrm>
                        <a:prstGeom prst="rect">
                          <a:avLst/>
                        </a:prstGeom>
                        <a:solidFill>
                          <a:srgbClr val="929309"/>
                        </a:solidFill>
                        <a:ln w="9525">
                          <a:solidFill>
                            <a:srgbClr val="000000"/>
                          </a:solidFill>
                          <a:miter lim="800000"/>
                          <a:headEnd/>
                          <a:tailEnd/>
                        </a:ln>
                      </wps:spPr>
                      <wps:txbx>
                        <w:txbxContent>
                          <w:p w:rsidR="0040731C" w:rsidRDefault="0040731C" w:rsidP="00913351">
                            <w:pPr>
                              <w:rPr>
                                <w:rFonts w:cs="Arial"/>
                                <w:color w:val="FFFFFF"/>
                              </w:rPr>
                            </w:pPr>
                            <w:r>
                              <w:rPr>
                                <w:rFonts w:cs="Arial"/>
                                <w:color w:val="FFFFFF"/>
                              </w:rPr>
                              <w:t xml:space="preserve">Quoted companies must report on all material emissions of the 6 Kyoto gases from direct sources and from purchased electricity, heat, steam and cooling. </w:t>
                            </w:r>
                          </w:p>
                          <w:p w:rsidR="0040731C" w:rsidRDefault="0040731C" w:rsidP="00913351">
                            <w:pPr>
                              <w:rPr>
                                <w:rFonts w:cs="Arial"/>
                                <w:color w:val="FFFFFF"/>
                              </w:rPr>
                            </w:pPr>
                            <w:r>
                              <w:rPr>
                                <w:rFonts w:cs="Arial"/>
                                <w:color w:val="FFFFFF"/>
                              </w:rPr>
                              <w:t xml:space="preserve">Quoted companies must state in their </w:t>
                            </w:r>
                            <w:r w:rsidRPr="008E68B7">
                              <w:rPr>
                                <w:rFonts w:cs="Arial"/>
                                <w:color w:val="FFFFFF"/>
                              </w:rPr>
                              <w:t>directors’</w:t>
                            </w:r>
                            <w:r>
                              <w:rPr>
                                <w:rFonts w:cs="Arial"/>
                                <w:color w:val="FFFFFF"/>
                              </w:rPr>
                              <w:t xml:space="preserve"> report if they have omitted any material emissions. </w:t>
                            </w:r>
                          </w:p>
                          <w:p w:rsidR="0040731C" w:rsidRDefault="0040731C" w:rsidP="00913351">
                            <w:pPr>
                              <w:rPr>
                                <w:rFonts w:cs="Arial"/>
                                <w:i/>
                                <w:sz w:val="20"/>
                              </w:rPr>
                            </w:pPr>
                          </w:p>
                        </w:txbxContent>
                      </wps:txbx>
                      <wps:bodyPr rot="0" vert="horz" wrap="square" lIns="91440" tIns="45720" rIns="91440" bIns="45720" anchor="t" anchorCtr="0" upright="1">
                        <a:noAutofit/>
                      </wps:bodyPr>
                    </wps:wsp>
                  </a:graphicData>
                </a:graphic>
              </wp:inline>
            </w:drawing>
          </mc:Choice>
          <mc:Fallback>
            <w:pict>
              <v:shape id="Text Box 34" o:spid="_x0000_s1029" type="#_x0000_t202" style="width:419.45pt;height:1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" fillcolor="#929309">
                <v:textbox>
                  <w:txbxContent>
                    <w:p w:rsidR="0040731C" w:rsidRDefault="0040731C" w:rsidP="00913351">
                      <w:pPr>
                        <w:rPr>
                          <w:rFonts w:cs="Arial"/>
                          <w:color w:val="FFFFFF"/>
                        </w:rPr>
                      </w:pPr>
                      <w:r>
                        <w:rPr>
                          <w:rFonts w:cs="Arial"/>
                          <w:color w:val="FFFFFF"/>
                        </w:rPr>
                        <w:t xml:space="preserve">Quoted companies must report on all material emissions of the 6 Kyoto gases from direct sources and from purchased electricity, heat, steam and cooling. </w:t>
                      </w:r>
                    </w:p>
                    <w:p w:rsidR="0040731C" w:rsidRDefault="0040731C" w:rsidP="00913351">
                      <w:pPr>
                        <w:rPr>
                          <w:rFonts w:cs="Arial"/>
                          <w:color w:val="FFFFFF"/>
                        </w:rPr>
                      </w:pPr>
                      <w:r>
                        <w:rPr>
                          <w:rFonts w:cs="Arial"/>
                          <w:color w:val="FFFFFF"/>
                        </w:rPr>
                        <w:t xml:space="preserve">Quoted companies must state in their </w:t>
                      </w:r>
                      <w:r w:rsidRPr="008E68B7">
                        <w:rPr>
                          <w:rFonts w:cs="Arial"/>
                          <w:color w:val="FFFFFF"/>
                        </w:rPr>
                        <w:t>directors’</w:t>
                      </w:r>
                      <w:r>
                        <w:rPr>
                          <w:rFonts w:cs="Arial"/>
                          <w:color w:val="FFFFFF"/>
                        </w:rPr>
                        <w:t xml:space="preserve"> report if they have omitted any material emissions. </w:t>
                      </w:r>
                    </w:p>
                    <w:p w:rsidR="0040731C" w:rsidRDefault="0040731C" w:rsidP="00913351">
                      <w:pPr>
                        <w:rPr>
                          <w:rFonts w:cs="Arial"/>
                          <w:i/>
                          <w:sz w:val="20"/>
                        </w:rPr>
                      </w:pPr>
                    </w:p>
                  </w:txbxContent>
                </v:textbox>
                <w10:anchorlock/>
              </v:shape>
            </w:pict>
          </mc:Fallback>
        </mc:AlternateContent>
      </w:r>
    </w:p>
    <w:p w:rsidR="00913351" w:rsidRPr="006A6CE3" w:rsidRDefault="00913351" w:rsidP="00E204D9">
      <w:pPr>
        <w:rPr>
          <w:rFonts w:cs="Arial"/>
          <w:highlight w:val="yellow"/>
        </w:rPr>
      </w:pPr>
    </w:p>
    <w:p w:rsidR="00913351" w:rsidRPr="006A6CE3" w:rsidRDefault="00913351" w:rsidP="00BE3068">
      <w:pPr>
        <w:pStyle w:val="Heading2"/>
      </w:pPr>
      <w:bookmarkStart w:id="83" w:name="_Toc358302262"/>
      <w:bookmarkStart w:id="84" w:name="_Toc380763554"/>
      <w:r w:rsidRPr="006A6CE3">
        <w:t>Must I use a particular methodology for my calculations?</w:t>
      </w:r>
      <w:bookmarkEnd w:id="83"/>
      <w:bookmarkEnd w:id="84"/>
    </w:p>
    <w:p w:rsidR="00913351" w:rsidRPr="006A6CE3" w:rsidRDefault="00913351" w:rsidP="00E204D9">
      <w:pPr>
        <w:rPr>
          <w:rFonts w:cs="Arial"/>
        </w:rPr>
      </w:pPr>
      <w:r w:rsidRPr="006A6CE3">
        <w:rPr>
          <w:rFonts w:cs="Arial"/>
        </w:rPr>
        <w:t>There is no prescribed methodology under the regulations, but for effective emissions management and transparency in reporting it is important that you use robust and accepted methods.  It is recommended that you use a widely recognized independent standard, such as:</w:t>
      </w:r>
    </w:p>
    <w:p w:rsidR="00913351" w:rsidRPr="006A6CE3" w:rsidRDefault="00C93591" w:rsidP="0086258B">
      <w:pPr>
        <w:numPr>
          <w:ilvl w:val="0"/>
          <w:numId w:val="5"/>
        </w:numPr>
        <w:spacing w:before="200" w:after="200"/>
        <w:rPr>
          <w:rFonts w:cs="Arial"/>
        </w:rPr>
      </w:pPr>
      <w:hyperlink r:id="rId35" w:history="1">
        <w:r w:rsidR="00913351" w:rsidRPr="006A6CE3">
          <w:rPr>
            <w:rStyle w:val="Hyperlink"/>
            <w:rFonts w:cs="Arial"/>
          </w:rPr>
          <w:t>ISO14064 – Greenhouse gases. Part 1 (2006)</w:t>
        </w:r>
      </w:hyperlink>
    </w:p>
    <w:p w:rsidR="00913351" w:rsidRPr="006A6CE3" w:rsidRDefault="00913351" w:rsidP="0086258B">
      <w:pPr>
        <w:numPr>
          <w:ilvl w:val="0"/>
          <w:numId w:val="5"/>
        </w:numPr>
        <w:spacing w:before="200" w:after="200"/>
        <w:rPr>
          <w:rFonts w:cs="Arial"/>
        </w:rPr>
      </w:pPr>
      <w:r w:rsidRPr="006A6CE3">
        <w:rPr>
          <w:rFonts w:cs="Arial"/>
        </w:rPr>
        <w:t xml:space="preserve">The WRI / WBCSD </w:t>
      </w:r>
      <w:hyperlink r:id="rId36" w:history="1">
        <w:r w:rsidRPr="006A6CE3">
          <w:rPr>
            <w:rStyle w:val="Hyperlink"/>
            <w:rFonts w:cs="Arial"/>
          </w:rPr>
          <w:t>Greenhouse Gas Protocol: A Corporate Accounting and Reporting Standard</w:t>
        </w:r>
      </w:hyperlink>
      <w:r w:rsidRPr="006A6CE3">
        <w:rPr>
          <w:rFonts w:cs="Arial"/>
        </w:rPr>
        <w:t xml:space="preserve"> (Revised Edition)</w:t>
      </w:r>
    </w:p>
    <w:p w:rsidR="00913351" w:rsidRPr="006A6CE3" w:rsidRDefault="00913351" w:rsidP="0086258B">
      <w:pPr>
        <w:numPr>
          <w:ilvl w:val="0"/>
          <w:numId w:val="5"/>
        </w:numPr>
        <w:spacing w:before="200" w:after="200"/>
        <w:rPr>
          <w:rFonts w:cs="Arial"/>
        </w:rPr>
      </w:pPr>
      <w:r w:rsidRPr="006A6CE3">
        <w:rPr>
          <w:rFonts w:cs="Arial"/>
        </w:rPr>
        <w:t>UK Government’s</w:t>
      </w:r>
      <w:r w:rsidR="00285DDF" w:rsidRPr="006A6CE3">
        <w:rPr>
          <w:rFonts w:cs="Arial"/>
        </w:rPr>
        <w:t xml:space="preserve"> Environmental Reporting Guidance</w:t>
      </w:r>
      <w:r w:rsidRPr="006A6CE3">
        <w:rPr>
          <w:rFonts w:cs="Arial"/>
        </w:rPr>
        <w:t xml:space="preserve"> (2013 version)</w:t>
      </w:r>
    </w:p>
    <w:p w:rsidR="00913351" w:rsidRPr="006A6CE3" w:rsidRDefault="00913351" w:rsidP="00E204D9">
      <w:pPr>
        <w:rPr>
          <w:rFonts w:cs="Arial"/>
        </w:rPr>
      </w:pPr>
      <w:r w:rsidRPr="006A6CE3">
        <w:rPr>
          <w:rFonts w:cs="Arial"/>
        </w:rPr>
        <w:t xml:space="preserve">There are also reporting approaches and programs based on or drawn from the Greenhouse Gas Protocol Corporate Standard and </w:t>
      </w:r>
      <w:hyperlink r:id="rId37" w:history="1">
        <w:r w:rsidRPr="006A6CE3">
          <w:rPr>
            <w:rStyle w:val="Hyperlink"/>
            <w:rFonts w:cs="Arial"/>
          </w:rPr>
          <w:t>ISO 14064-1</w:t>
        </w:r>
      </w:hyperlink>
      <w:r w:rsidRPr="006A6CE3">
        <w:rPr>
          <w:rFonts w:cs="Arial"/>
        </w:rPr>
        <w:t>, including:</w:t>
      </w:r>
    </w:p>
    <w:p w:rsidR="00913351" w:rsidRPr="006A6CE3" w:rsidRDefault="00C93591" w:rsidP="0086258B">
      <w:pPr>
        <w:numPr>
          <w:ilvl w:val="0"/>
          <w:numId w:val="5"/>
        </w:numPr>
        <w:spacing w:before="200" w:after="200"/>
        <w:rPr>
          <w:rFonts w:cs="Arial"/>
        </w:rPr>
      </w:pPr>
      <w:hyperlink r:id="rId38" w:history="1">
        <w:r w:rsidR="00913351" w:rsidRPr="006A6CE3">
          <w:rPr>
            <w:rStyle w:val="Hyperlink"/>
            <w:rFonts w:cs="Arial"/>
          </w:rPr>
          <w:t>The Climate Disclosure Standards Board Climate Change Reporting Framework – Edition 1.1 October 2012</w:t>
        </w:r>
      </w:hyperlink>
      <w:r w:rsidR="00913351" w:rsidRPr="006A6CE3">
        <w:rPr>
          <w:rFonts w:cs="Arial"/>
        </w:rPr>
        <w:t xml:space="preserve">. </w:t>
      </w:r>
    </w:p>
    <w:p w:rsidR="00913351" w:rsidRPr="006A6CE3" w:rsidRDefault="00C93591" w:rsidP="0086258B">
      <w:pPr>
        <w:numPr>
          <w:ilvl w:val="0"/>
          <w:numId w:val="5"/>
        </w:numPr>
        <w:spacing w:before="200" w:after="200"/>
        <w:rPr>
          <w:rFonts w:cs="Arial"/>
        </w:rPr>
      </w:pPr>
      <w:hyperlink r:id="rId39" w:history="1">
        <w:r w:rsidR="00913351" w:rsidRPr="006A6CE3">
          <w:rPr>
            <w:rStyle w:val="Hyperlink"/>
            <w:rFonts w:cs="Arial"/>
          </w:rPr>
          <w:t>The Global Reporting Initiative Sustainability Reporting Guidelines</w:t>
        </w:r>
      </w:hyperlink>
    </w:p>
    <w:p w:rsidR="00913351" w:rsidRPr="006A6CE3" w:rsidRDefault="00913351" w:rsidP="00E204D9">
      <w:pPr>
        <w:rPr>
          <w:rFonts w:cs="Arial"/>
        </w:rPr>
      </w:pPr>
      <w:r w:rsidRPr="006A6CE3">
        <w:rPr>
          <w:rFonts w:cs="Arial"/>
        </w:rPr>
        <w:t>CDP has developed a list of commonly cited methodologies, protocol and standards</w:t>
      </w:r>
      <w:r w:rsidRPr="006A6CE3">
        <w:rPr>
          <w:rStyle w:val="FootnoteReference"/>
          <w:rFonts w:cs="Arial"/>
        </w:rPr>
        <w:footnoteReference w:id="33"/>
      </w:r>
      <w:r w:rsidRPr="006A6CE3">
        <w:rPr>
          <w:rFonts w:cs="Arial"/>
        </w:rPr>
        <w:t>.  There may be existing methodologies developed by certain sectors, such as those for the petroleum industry</w:t>
      </w:r>
      <w:r w:rsidRPr="006A6CE3">
        <w:rPr>
          <w:rStyle w:val="FootnoteReference"/>
          <w:rFonts w:cs="Arial"/>
        </w:rPr>
        <w:footnoteReference w:id="34"/>
      </w:r>
      <w:r w:rsidRPr="006A6CE3">
        <w:rPr>
          <w:rFonts w:cs="Arial"/>
        </w:rPr>
        <w:t xml:space="preserve">.  Companies within those sectors may wish to consider using </w:t>
      </w:r>
      <w:proofErr w:type="spellStart"/>
      <w:r w:rsidRPr="006A6CE3">
        <w:rPr>
          <w:rFonts w:cs="Arial"/>
        </w:rPr>
        <w:t>sectoral</w:t>
      </w:r>
      <w:proofErr w:type="spellEnd"/>
      <w:r w:rsidRPr="006A6CE3">
        <w:rPr>
          <w:rFonts w:cs="Arial"/>
        </w:rPr>
        <w:t xml:space="preserve"> methodologies where appropriate.  </w:t>
      </w:r>
    </w:p>
    <w:p w:rsidR="00913351" w:rsidRPr="006A6CE3" w:rsidRDefault="00913351" w:rsidP="00E204D9">
      <w:pPr>
        <w:rPr>
          <w:rFonts w:cs="Arial"/>
        </w:rPr>
      </w:pPr>
      <w:r w:rsidRPr="006A6CE3">
        <w:rPr>
          <w:rFonts w:cs="Arial"/>
        </w:rPr>
        <w:t>You may use relevant information from other domestic and international regulatory reporting processes to fulfil your mandatory reporting obligations in your directors’ report. Data from the following may be useful:</w:t>
      </w:r>
    </w:p>
    <w:p w:rsidR="00913351" w:rsidRPr="006A6CE3" w:rsidRDefault="00913351" w:rsidP="0086258B">
      <w:pPr>
        <w:numPr>
          <w:ilvl w:val="0"/>
          <w:numId w:val="6"/>
        </w:numPr>
        <w:spacing w:before="200" w:after="200"/>
        <w:rPr>
          <w:rFonts w:cs="Arial"/>
        </w:rPr>
      </w:pPr>
      <w:r w:rsidRPr="006A6CE3">
        <w:rPr>
          <w:rFonts w:cs="Arial"/>
        </w:rPr>
        <w:t>Climate Change Agreements (CCA)</w:t>
      </w:r>
    </w:p>
    <w:p w:rsidR="00913351" w:rsidRPr="006A6CE3" w:rsidRDefault="00913351" w:rsidP="0086258B">
      <w:pPr>
        <w:numPr>
          <w:ilvl w:val="0"/>
          <w:numId w:val="6"/>
        </w:numPr>
        <w:spacing w:before="200" w:after="200"/>
        <w:rPr>
          <w:rFonts w:cs="Arial"/>
        </w:rPr>
      </w:pPr>
      <w:r w:rsidRPr="006A6CE3">
        <w:rPr>
          <w:rFonts w:cs="Arial"/>
        </w:rPr>
        <w:t>The EU Emissions Trading Scheme (EU ETS)</w:t>
      </w:r>
    </w:p>
    <w:p w:rsidR="00913351" w:rsidRPr="006A6CE3" w:rsidRDefault="00913351" w:rsidP="0086258B">
      <w:pPr>
        <w:numPr>
          <w:ilvl w:val="0"/>
          <w:numId w:val="6"/>
        </w:numPr>
        <w:spacing w:before="200" w:after="200"/>
        <w:rPr>
          <w:rFonts w:cs="Arial"/>
        </w:rPr>
      </w:pPr>
      <w:r w:rsidRPr="006A6CE3">
        <w:rPr>
          <w:rFonts w:cs="Arial"/>
        </w:rPr>
        <w:t>The Carbon Reduction Commitment Energy Efficiency Scheme (CRC Energy Efficiency)</w:t>
      </w:r>
    </w:p>
    <w:p w:rsidR="00913351" w:rsidRPr="006A6CE3" w:rsidRDefault="00913351" w:rsidP="0086258B">
      <w:pPr>
        <w:numPr>
          <w:ilvl w:val="0"/>
          <w:numId w:val="6"/>
        </w:numPr>
        <w:spacing w:before="200" w:after="200"/>
        <w:rPr>
          <w:rFonts w:cs="Arial"/>
        </w:rPr>
      </w:pPr>
      <w:r w:rsidRPr="006A6CE3">
        <w:rPr>
          <w:rFonts w:cs="Arial"/>
        </w:rPr>
        <w:t>Reporting or disclosure schemes in other countries</w:t>
      </w:r>
    </w:p>
    <w:p w:rsidR="00913351" w:rsidRPr="006A6CE3" w:rsidRDefault="00913351" w:rsidP="00E204D9">
      <w:pPr>
        <w:rPr>
          <w:rFonts w:cs="Arial"/>
        </w:rPr>
      </w:pPr>
      <w:r w:rsidRPr="006A6CE3">
        <w:rPr>
          <w:rFonts w:cs="Arial"/>
        </w:rPr>
        <w:t>If you have used data compiled in fulfilment of other regulatory requirements, then state this as one of the methodologies that you have used to make your report.</w:t>
      </w:r>
    </w:p>
    <w:p w:rsidR="00913351" w:rsidRPr="006A6CE3" w:rsidRDefault="00913351" w:rsidP="00E204D9">
      <w:pPr>
        <w:rPr>
          <w:rFonts w:cs="Arial"/>
        </w:rPr>
      </w:pPr>
      <w:r w:rsidRPr="006A6CE3">
        <w:rPr>
          <w:rFonts w:cs="Arial"/>
        </w:rPr>
        <w:t>If you decide to use information from regulatory schemes, you need to consider whether additional data is needed to satisfy these GHG reporting requirements.  Data under other schemes may only cover some of your organisation’s GHG emissions and only give part of the required information.  For example the CRC Energy Efficiency scheme only applies to certain emissions in the UK and only covers carbon dioxide, so the electricity figure calculated under CRC Energy Efficiency would be different to one calculated under the UK Government’s voluntary reporting guidelines or GHG Protocol Corporate Standard. You will need to consider where the data you have collected needs to be supplemented with additional information.</w:t>
      </w:r>
      <w:r w:rsidRPr="006A6CE3">
        <w:rPr>
          <w:rStyle w:val="FootnoteReference"/>
          <w:rFonts w:cs="Arial"/>
        </w:rPr>
        <w:footnoteReference w:id="35"/>
      </w:r>
    </w:p>
    <w:p w:rsidR="00913351" w:rsidRPr="006A6CE3" w:rsidRDefault="00913351" w:rsidP="00E204D9">
      <w:pPr>
        <w:rPr>
          <w:rFonts w:cs="Arial"/>
        </w:rPr>
      </w:pPr>
      <w:r w:rsidRPr="006A6CE3">
        <w:rPr>
          <w:rFonts w:cs="Arial"/>
        </w:rPr>
        <w:lastRenderedPageBreak/>
        <w:t>You must state in your directors’ report the methodology or methodologies used</w:t>
      </w:r>
      <w:r w:rsidRPr="006A6CE3">
        <w:rPr>
          <w:rStyle w:val="FootnoteReference"/>
          <w:rFonts w:cs="Arial"/>
        </w:rPr>
        <w:footnoteReference w:id="36"/>
      </w:r>
      <w:r w:rsidRPr="006A6CE3">
        <w:rPr>
          <w:rFonts w:cs="Arial"/>
        </w:rPr>
        <w:t xml:space="preserve">.  </w:t>
      </w:r>
    </w:p>
    <w:p w:rsidR="00913351" w:rsidRPr="006A6CE3" w:rsidRDefault="00151A25" w:rsidP="00E204D9">
      <w:pPr>
        <w:rPr>
          <w:rFonts w:cs="Arial"/>
          <w:b/>
          <w:highlight w:val="yellow"/>
        </w:rPr>
      </w:pPr>
      <w:r>
        <w:rPr>
          <w:rFonts w:cs="Arial"/>
          <w:noProof/>
          <w:lang w:eastAsia="en-GB"/>
        </w:rPr>
        <mc:AlternateContent>
          <mc:Choice Requires="wps">
            <w:drawing>
              <wp:inline distT="0" distB="0" distL="0" distR="0" wp14:anchorId="460EC12A" wp14:editId="3F154FE2">
                <wp:extent cx="5327015" cy="711835"/>
                <wp:effectExtent l="9525" t="9525" r="6985" b="12065"/>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015" cy="711835"/>
                        </a:xfrm>
                        <a:prstGeom prst="rect">
                          <a:avLst/>
                        </a:prstGeom>
                        <a:solidFill>
                          <a:srgbClr val="929309"/>
                        </a:solidFill>
                        <a:ln w="9525">
                          <a:solidFill>
                            <a:srgbClr val="000000"/>
                          </a:solidFill>
                          <a:miter lim="800000"/>
                          <a:headEnd/>
                          <a:tailEnd/>
                        </a:ln>
                      </wps:spPr>
                      <wps:txbx>
                        <w:txbxContent>
                          <w:p w:rsidR="0040731C" w:rsidRDefault="0040731C" w:rsidP="00913351">
                            <w:pPr>
                              <w:rPr>
                                <w:rFonts w:cs="Arial"/>
                                <w:color w:val="FFFFFF"/>
                              </w:rPr>
                            </w:pPr>
                            <w:r>
                              <w:rPr>
                                <w:rFonts w:cs="Arial"/>
                                <w:color w:val="FFFFFF"/>
                              </w:rPr>
                              <w:t>Quoted companies must state what methodology or methodologies they have used for calculating their GHG emissions.</w:t>
                            </w:r>
                          </w:p>
                          <w:p w:rsidR="0040731C" w:rsidRDefault="0040731C" w:rsidP="00913351">
                            <w:pPr>
                              <w:rPr>
                                <w:rFonts w:cs="Arial"/>
                                <w:i/>
                                <w:sz w:val="20"/>
                              </w:rPr>
                            </w:pPr>
                          </w:p>
                        </w:txbxContent>
                      </wps:txbx>
                      <wps:bodyPr rot="0" vert="horz" wrap="square" lIns="91440" tIns="45720" rIns="91440" bIns="45720" anchor="t" anchorCtr="0" upright="1">
                        <a:noAutofit/>
                      </wps:bodyPr>
                    </wps:wsp>
                  </a:graphicData>
                </a:graphic>
              </wp:inline>
            </w:drawing>
          </mc:Choice>
          <mc:Fallback>
            <w:pict>
              <v:shape id="Text Box 33" o:spid="_x0000_s1030" type="#_x0000_t202" style="width:419.45pt;height:5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" fillcolor="#929309">
                <v:textbox>
                  <w:txbxContent>
                    <w:p w:rsidR="0040731C" w:rsidRDefault="0040731C" w:rsidP="00913351">
                      <w:pPr>
                        <w:rPr>
                          <w:rFonts w:cs="Arial"/>
                          <w:color w:val="FFFFFF"/>
                        </w:rPr>
                      </w:pPr>
                      <w:r>
                        <w:rPr>
                          <w:rFonts w:cs="Arial"/>
                          <w:color w:val="FFFFFF"/>
                        </w:rPr>
                        <w:t>Quoted companies must state what methodology or methodologies they have used for calculating their GHG emissions.</w:t>
                      </w:r>
                    </w:p>
                    <w:p w:rsidR="0040731C" w:rsidRDefault="0040731C" w:rsidP="00913351">
                      <w:pPr>
                        <w:rPr>
                          <w:rFonts w:cs="Arial"/>
                          <w:i/>
                          <w:sz w:val="20"/>
                        </w:rPr>
                      </w:pPr>
                    </w:p>
                  </w:txbxContent>
                </v:textbox>
                <w10:anchorlock/>
              </v:shape>
            </w:pict>
          </mc:Fallback>
        </mc:AlternateContent>
      </w:r>
    </w:p>
    <w:p w:rsidR="00913351" w:rsidRPr="006A6CE3" w:rsidRDefault="00913351" w:rsidP="00E204D9">
      <w:pPr>
        <w:rPr>
          <w:rFonts w:cs="Arial"/>
          <w:b/>
          <w:highlight w:val="yellow"/>
        </w:rPr>
      </w:pPr>
    </w:p>
    <w:p w:rsidR="00913351" w:rsidRPr="006A6CE3" w:rsidRDefault="00913351" w:rsidP="00BE3068">
      <w:pPr>
        <w:pStyle w:val="Heading2"/>
      </w:pPr>
      <w:bookmarkStart w:id="85" w:name="_Toc358302263"/>
      <w:bookmarkStart w:id="86" w:name="_Toc380763555"/>
      <w:r w:rsidRPr="006A6CE3">
        <w:t>Must I show emissions over time?</w:t>
      </w:r>
      <w:bookmarkEnd w:id="85"/>
      <w:bookmarkEnd w:id="86"/>
      <w:r w:rsidRPr="006A6CE3">
        <w:t xml:space="preserve"> </w:t>
      </w:r>
    </w:p>
    <w:p w:rsidR="00913351" w:rsidRPr="006A6CE3" w:rsidRDefault="00913351" w:rsidP="00E204D9">
      <w:pPr>
        <w:rPr>
          <w:rFonts w:cs="Arial"/>
        </w:rPr>
      </w:pPr>
      <w:r w:rsidRPr="006A6CE3">
        <w:rPr>
          <w:rFonts w:cs="Arial"/>
        </w:rPr>
        <w:t xml:space="preserve">Reporting of previous years’ emissions with your latest information provides readers with the ability to see trends in your emissions over time. </w:t>
      </w:r>
    </w:p>
    <w:p w:rsidR="00913351" w:rsidRPr="006A6CE3" w:rsidRDefault="00913351" w:rsidP="00E204D9">
      <w:pPr>
        <w:rPr>
          <w:rFonts w:cs="Arial"/>
        </w:rPr>
      </w:pPr>
      <w:r w:rsidRPr="006A6CE3">
        <w:rPr>
          <w:rFonts w:cs="Arial"/>
        </w:rPr>
        <w:t>With the exception of the first mandatory reporting year, you must repeat the emissions data disclosed in your previous report alongside information on emissions from your present year</w:t>
      </w:r>
      <w:r w:rsidRPr="006A6CE3">
        <w:rPr>
          <w:rStyle w:val="FootnoteReference"/>
          <w:rFonts w:cs="Arial"/>
        </w:rPr>
        <w:footnoteReference w:id="37"/>
      </w:r>
      <w:r w:rsidRPr="006A6CE3">
        <w:rPr>
          <w:rFonts w:cs="Arial"/>
        </w:rPr>
        <w:t>.  In effect you will have a rolling one year comparator for your data.</w:t>
      </w:r>
    </w:p>
    <w:p w:rsidR="00913351" w:rsidRPr="006A6CE3" w:rsidRDefault="00913351" w:rsidP="00E204D9">
      <w:pPr>
        <w:rPr>
          <w:rFonts w:cs="Arial"/>
        </w:rPr>
      </w:pPr>
      <w:r w:rsidRPr="006A6CE3">
        <w:rPr>
          <w:rFonts w:cs="Arial"/>
        </w:rPr>
        <w:t xml:space="preserve">If you have been voluntarily reporting your greenhouse gas emissions for a number of years, you will have information that could be helpful to readers to understand trends and how your company is managing emissions.   You may wish to report information beyond the minimum mandatory requirement of the previous year to give readers a longer emissions history. </w:t>
      </w:r>
    </w:p>
    <w:p w:rsidR="00913351" w:rsidRPr="006A6CE3" w:rsidRDefault="00913351" w:rsidP="00E204D9">
      <w:pPr>
        <w:rPr>
          <w:rFonts w:cs="Arial"/>
        </w:rPr>
      </w:pPr>
      <w:r w:rsidRPr="006A6CE3">
        <w:rPr>
          <w:rFonts w:cs="Arial"/>
        </w:rPr>
        <w:t xml:space="preserve">If companies have undergone structural changes since the previous reporting period, they may wish to re-calculate the previous year’s emission figures. Chapter 5 of the </w:t>
      </w:r>
      <w:hyperlink r:id="rId40" w:history="1">
        <w:r w:rsidRPr="006A6CE3">
          <w:rPr>
            <w:rStyle w:val="Hyperlink"/>
            <w:rFonts w:cs="Arial"/>
          </w:rPr>
          <w:t>GHG Protocol Corporate Standard</w:t>
        </w:r>
      </w:hyperlink>
      <w:r w:rsidRPr="006A6CE3">
        <w:rPr>
          <w:rFonts w:cs="Arial"/>
        </w:rPr>
        <w:t xml:space="preserve"> explains about re-calculating past emission figures. </w:t>
      </w:r>
      <w:proofErr w:type="gramStart"/>
      <w:r w:rsidRPr="006A6CE3">
        <w:rPr>
          <w:rFonts w:cs="Arial"/>
        </w:rPr>
        <w:t xml:space="preserve">This is </w:t>
      </w:r>
      <w:r w:rsidRPr="006A6CE3">
        <w:rPr>
          <w:rFonts w:cs="Arial"/>
          <w:b/>
        </w:rPr>
        <w:t>not</w:t>
      </w:r>
      <w:r w:rsidRPr="006A6CE3">
        <w:rPr>
          <w:rFonts w:cs="Arial"/>
        </w:rPr>
        <w:t xml:space="preserve"> a regulatory requirement, but, if you have done so, please make</w:t>
      </w:r>
      <w:proofErr w:type="gramEnd"/>
      <w:r w:rsidRPr="006A6CE3">
        <w:rPr>
          <w:rFonts w:cs="Arial"/>
        </w:rPr>
        <w:t xml:space="preserve"> this clear in your report.</w:t>
      </w:r>
    </w:p>
    <w:p w:rsidR="00913351" w:rsidRPr="006A6CE3" w:rsidRDefault="00151A25" w:rsidP="00E204D9">
      <w:pPr>
        <w:rPr>
          <w:rFonts w:cs="Arial"/>
          <w:highlight w:val="yellow"/>
        </w:rPr>
      </w:pPr>
      <w:r>
        <w:rPr>
          <w:rFonts w:cs="Arial"/>
          <w:noProof/>
          <w:lang w:eastAsia="en-GB"/>
        </w:rPr>
        <mc:AlternateContent>
          <mc:Choice Requires="wps">
            <w:drawing>
              <wp:inline distT="0" distB="0" distL="0" distR="0" wp14:anchorId="2FA672F6" wp14:editId="1F950363">
                <wp:extent cx="5327015" cy="732790"/>
                <wp:effectExtent l="9525" t="9525" r="6985" b="10160"/>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015" cy="732790"/>
                        </a:xfrm>
                        <a:prstGeom prst="rect">
                          <a:avLst/>
                        </a:prstGeom>
                        <a:solidFill>
                          <a:srgbClr val="929309"/>
                        </a:solidFill>
                        <a:ln w="9525">
                          <a:solidFill>
                            <a:srgbClr val="000000"/>
                          </a:solidFill>
                          <a:miter lim="800000"/>
                          <a:headEnd/>
                          <a:tailEnd/>
                        </a:ln>
                      </wps:spPr>
                      <wps:txbx>
                        <w:txbxContent>
                          <w:p w:rsidR="0040731C" w:rsidRDefault="0040731C" w:rsidP="00913351">
                            <w:pPr>
                              <w:rPr>
                                <w:rFonts w:cs="Arial"/>
                                <w:i/>
                                <w:sz w:val="20"/>
                              </w:rPr>
                            </w:pPr>
                            <w:r>
                              <w:rPr>
                                <w:rFonts w:cs="Arial"/>
                                <w:color w:val="FFFFFF"/>
                              </w:rPr>
                              <w:t xml:space="preserve">Quoted companies must state the emissions disclosed in their previous year’s </w:t>
                            </w:r>
                            <w:r w:rsidRPr="008E68B7">
                              <w:rPr>
                                <w:rFonts w:cs="Arial"/>
                                <w:color w:val="FFFFFF"/>
                              </w:rPr>
                              <w:t>directors’ report</w:t>
                            </w:r>
                            <w:r>
                              <w:rPr>
                                <w:rFonts w:cs="Arial"/>
                                <w:color w:val="FFFFFF"/>
                              </w:rPr>
                              <w:t xml:space="preserve"> alongside their current year’s data. </w:t>
                            </w:r>
                          </w:p>
                        </w:txbxContent>
                      </wps:txbx>
                      <wps:bodyPr rot="0" vert="horz" wrap="square" lIns="91440" tIns="45720" rIns="91440" bIns="45720" anchor="t" anchorCtr="0" upright="1">
                        <a:spAutoFit/>
                      </wps:bodyPr>
                    </wps:wsp>
                  </a:graphicData>
                </a:graphic>
              </wp:inline>
            </w:drawing>
          </mc:Choice>
          <mc:Fallback>
            <w:pict>
              <v:shape id="Text Box 32" o:spid="_x0000_s1031" type="#_x0000_t202" style="width:419.45pt;height:5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" fillcolor="#929309">
                <v:textbox style="mso-fit-shape-to-text:t">
                  <w:txbxContent>
                    <w:p w:rsidR="0040731C" w:rsidRDefault="0040731C" w:rsidP="00913351">
                      <w:pPr>
                        <w:rPr>
                          <w:rFonts w:cs="Arial"/>
                          <w:i/>
                          <w:sz w:val="20"/>
                        </w:rPr>
                      </w:pPr>
                      <w:r>
                        <w:rPr>
                          <w:rFonts w:cs="Arial"/>
                          <w:color w:val="FFFFFF"/>
                        </w:rPr>
                        <w:t xml:space="preserve">Quoted companies must state the emissions disclosed in their previous year’s </w:t>
                      </w:r>
                      <w:r w:rsidRPr="008E68B7">
                        <w:rPr>
                          <w:rFonts w:cs="Arial"/>
                          <w:color w:val="FFFFFF"/>
                        </w:rPr>
                        <w:t>directors’ report</w:t>
                      </w:r>
                      <w:r>
                        <w:rPr>
                          <w:rFonts w:cs="Arial"/>
                          <w:color w:val="FFFFFF"/>
                        </w:rPr>
                        <w:t xml:space="preserve"> alongside their current year’s data. </w:t>
                      </w:r>
                    </w:p>
                  </w:txbxContent>
                </v:textbox>
                <w10:anchorlock/>
              </v:shape>
            </w:pict>
          </mc:Fallback>
        </mc:AlternateContent>
      </w:r>
    </w:p>
    <w:p w:rsidR="00913351" w:rsidRPr="006A6CE3" w:rsidRDefault="00913351" w:rsidP="00E204D9">
      <w:pPr>
        <w:rPr>
          <w:rFonts w:cs="Arial"/>
          <w:highlight w:val="yellow"/>
        </w:rPr>
      </w:pPr>
    </w:p>
    <w:p w:rsidR="00913351" w:rsidRPr="006A6CE3" w:rsidRDefault="00913351" w:rsidP="00BE3068">
      <w:pPr>
        <w:pStyle w:val="Heading2"/>
      </w:pPr>
      <w:bookmarkStart w:id="87" w:name="_Toc358302264"/>
      <w:bookmarkStart w:id="88" w:name="_Toc380763556"/>
      <w:r w:rsidRPr="006A6CE3">
        <w:t>Intensity ratios</w:t>
      </w:r>
      <w:bookmarkEnd w:id="87"/>
      <w:bookmarkEnd w:id="88"/>
    </w:p>
    <w:p w:rsidR="00913351" w:rsidRPr="006A6CE3" w:rsidRDefault="00913351" w:rsidP="00E204D9">
      <w:pPr>
        <w:rPr>
          <w:rFonts w:cs="Arial"/>
        </w:rPr>
      </w:pPr>
      <w:r w:rsidRPr="006A6CE3">
        <w:rPr>
          <w:rFonts w:cs="Arial"/>
        </w:rPr>
        <w:t>Your directors’ report must also express your emissions by way of an intensity ratio or ratios</w:t>
      </w:r>
      <w:r w:rsidRPr="006A6CE3">
        <w:rPr>
          <w:rStyle w:val="FootnoteReference"/>
          <w:rFonts w:cs="Arial"/>
        </w:rPr>
        <w:footnoteReference w:id="38"/>
      </w:r>
      <w:r w:rsidRPr="006A6CE3">
        <w:rPr>
          <w:rFonts w:cs="Arial"/>
        </w:rPr>
        <w:t>.  Intensity ratios compare emissions data with an appropriate business metric or financial indicator, such as sales revenue or square metres of floor space.  This allows comparison of performance over time and with other similar types of organisations.   The voluntary reporting guidance in the next section provides further advice on intensity ratios and the measurements that may be appropriate.</w:t>
      </w:r>
    </w:p>
    <w:p w:rsidR="00913351" w:rsidRPr="006A6CE3" w:rsidRDefault="00913351" w:rsidP="00E204D9">
      <w:pPr>
        <w:rPr>
          <w:rFonts w:cs="Arial"/>
        </w:rPr>
      </w:pPr>
      <w:r w:rsidRPr="006A6CE3">
        <w:rPr>
          <w:rFonts w:cs="Arial"/>
        </w:rPr>
        <w:t>Companies must state at least one intensity ratio that relates to their annual emissions i.e. for the entire company</w:t>
      </w:r>
      <w:r w:rsidRPr="006A6CE3">
        <w:rPr>
          <w:rStyle w:val="FootnoteReference"/>
          <w:rFonts w:cs="Arial"/>
        </w:rPr>
        <w:footnoteReference w:id="39"/>
      </w:r>
      <w:r w:rsidRPr="006A6CE3">
        <w:rPr>
          <w:rFonts w:cs="Arial"/>
        </w:rPr>
        <w:t>. However, they may provide additional metrics either covering all or part of the company at their discretion.</w:t>
      </w:r>
    </w:p>
    <w:p w:rsidR="00913351" w:rsidRPr="006A6CE3" w:rsidRDefault="00151A25" w:rsidP="00E204D9">
      <w:pPr>
        <w:rPr>
          <w:rFonts w:cs="Arial"/>
          <w:highlight w:val="yellow"/>
        </w:rPr>
      </w:pPr>
      <w:r>
        <w:rPr>
          <w:rFonts w:cs="Arial"/>
          <w:noProof/>
          <w:lang w:eastAsia="en-GB"/>
        </w:rPr>
        <mc:AlternateContent>
          <mc:Choice Requires="wps">
            <w:drawing>
              <wp:inline distT="0" distB="0" distL="0" distR="0" wp14:anchorId="32AFB366" wp14:editId="19822001">
                <wp:extent cx="5327015" cy="772160"/>
                <wp:effectExtent l="9525" t="9525" r="6985" b="8890"/>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015" cy="772160"/>
                        </a:xfrm>
                        <a:prstGeom prst="rect">
                          <a:avLst/>
                        </a:prstGeom>
                        <a:solidFill>
                          <a:srgbClr val="929309"/>
                        </a:solidFill>
                        <a:ln w="9525">
                          <a:solidFill>
                            <a:srgbClr val="000000"/>
                          </a:solidFill>
                          <a:miter lim="800000"/>
                          <a:headEnd/>
                          <a:tailEnd/>
                        </a:ln>
                      </wps:spPr>
                      <wps:txbx>
                        <w:txbxContent>
                          <w:p w:rsidR="0040731C" w:rsidRDefault="0040731C" w:rsidP="00913351">
                            <w:pPr>
                              <w:rPr>
                                <w:rFonts w:cs="Arial"/>
                                <w:color w:val="FFFFFF"/>
                              </w:rPr>
                            </w:pPr>
                            <w:r>
                              <w:rPr>
                                <w:rFonts w:cs="Arial"/>
                                <w:color w:val="FFFFFF"/>
                              </w:rPr>
                              <w:t xml:space="preserve">Quoted companies must express their annual emissions using at least one intensity ratio related to their activities. </w:t>
                            </w:r>
                          </w:p>
                          <w:p w:rsidR="0040731C" w:rsidRDefault="0040731C" w:rsidP="00913351">
                            <w:pPr>
                              <w:rPr>
                                <w:rFonts w:cs="Arial"/>
                                <w:i/>
                                <w:sz w:val="20"/>
                              </w:rPr>
                            </w:pPr>
                          </w:p>
                        </w:txbxContent>
                      </wps:txbx>
                      <wps:bodyPr rot="0" vert="horz" wrap="square" lIns="91440" tIns="45720" rIns="91440" bIns="45720" anchor="t" anchorCtr="0" upright="1">
                        <a:noAutofit/>
                      </wps:bodyPr>
                    </wps:wsp>
                  </a:graphicData>
                </a:graphic>
              </wp:inline>
            </w:drawing>
          </mc:Choice>
          <mc:Fallback>
            <w:pict>
              <v:shape id="Text Box 31" o:spid="_x0000_s1032" type="#_x0000_t202" style="width:419.45pt;height:6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" fillcolor="#929309">
                <v:textbox>
                  <w:txbxContent>
                    <w:p w:rsidR="0040731C" w:rsidRDefault="0040731C" w:rsidP="00913351">
                      <w:pPr>
                        <w:rPr>
                          <w:rFonts w:cs="Arial"/>
                          <w:color w:val="FFFFFF"/>
                        </w:rPr>
                      </w:pPr>
                      <w:r>
                        <w:rPr>
                          <w:rFonts w:cs="Arial"/>
                          <w:color w:val="FFFFFF"/>
                        </w:rPr>
                        <w:t xml:space="preserve">Quoted companies must express their annual emissions using at least one intensity ratio related to their activities. </w:t>
                      </w:r>
                    </w:p>
                    <w:p w:rsidR="0040731C" w:rsidRDefault="0040731C" w:rsidP="00913351">
                      <w:pPr>
                        <w:rPr>
                          <w:rFonts w:cs="Arial"/>
                          <w:i/>
                          <w:sz w:val="20"/>
                        </w:rPr>
                      </w:pPr>
                    </w:p>
                  </w:txbxContent>
                </v:textbox>
                <w10:anchorlock/>
              </v:shape>
            </w:pict>
          </mc:Fallback>
        </mc:AlternateContent>
      </w:r>
    </w:p>
    <w:p w:rsidR="00913351" w:rsidRPr="006A6CE3" w:rsidRDefault="00913351" w:rsidP="00E204D9">
      <w:pPr>
        <w:rPr>
          <w:rFonts w:cs="Arial"/>
        </w:rPr>
      </w:pPr>
    </w:p>
    <w:p w:rsidR="00913351" w:rsidRPr="006A6CE3" w:rsidRDefault="00913351" w:rsidP="00BE3068">
      <w:pPr>
        <w:pStyle w:val="Heading2"/>
      </w:pPr>
      <w:bookmarkStart w:id="89" w:name="_Toc358302265"/>
      <w:bookmarkStart w:id="90" w:name="_Toc380763557"/>
      <w:r w:rsidRPr="006A6CE3">
        <w:t>Should I get my emissions data verified?</w:t>
      </w:r>
      <w:bookmarkEnd w:id="89"/>
      <w:bookmarkEnd w:id="90"/>
    </w:p>
    <w:p w:rsidR="00913351" w:rsidRPr="006A6CE3" w:rsidRDefault="00913351" w:rsidP="00E204D9">
      <w:pPr>
        <w:rPr>
          <w:rFonts w:cs="Arial"/>
          <w:bCs/>
        </w:rPr>
      </w:pPr>
      <w:bookmarkStart w:id="91" w:name="_Toc340827175"/>
      <w:r w:rsidRPr="006A6CE3">
        <w:rPr>
          <w:rFonts w:cs="Arial"/>
          <w:bCs/>
        </w:rPr>
        <w:t>There is no requirement in the regulations for emission data to be independently verified or assured so</w:t>
      </w:r>
      <w:bookmarkEnd w:id="91"/>
      <w:r w:rsidRPr="006A6CE3">
        <w:rPr>
          <w:rFonts w:cs="Arial"/>
          <w:bCs/>
        </w:rPr>
        <w:t xml:space="preserve"> </w:t>
      </w:r>
      <w:bookmarkStart w:id="92" w:name="_Toc340827176"/>
      <w:r w:rsidRPr="006A6CE3">
        <w:rPr>
          <w:rFonts w:cs="Arial"/>
          <w:bCs/>
        </w:rPr>
        <w:t>the statutory auditor of the financial statement does not need to assure or verify environmental information provided in the directors’ report. However the auditor will be required to:</w:t>
      </w:r>
      <w:bookmarkEnd w:id="92"/>
    </w:p>
    <w:p w:rsidR="00913351" w:rsidRPr="006A6CE3" w:rsidRDefault="00913351" w:rsidP="0086258B">
      <w:pPr>
        <w:numPr>
          <w:ilvl w:val="0"/>
          <w:numId w:val="3"/>
        </w:numPr>
        <w:spacing w:before="200" w:after="200"/>
        <w:rPr>
          <w:rFonts w:cs="Arial"/>
          <w:bCs/>
        </w:rPr>
      </w:pPr>
      <w:bookmarkStart w:id="93" w:name="_Toc340827177"/>
      <w:r w:rsidRPr="006A6CE3">
        <w:rPr>
          <w:rFonts w:cs="Arial"/>
          <w:bCs/>
        </w:rPr>
        <w:t>consider  whether the information is consistent with the financial statements</w:t>
      </w:r>
      <w:r w:rsidRPr="006A6CE3">
        <w:rPr>
          <w:rStyle w:val="FootnoteReference"/>
          <w:rFonts w:cs="Arial"/>
          <w:bCs/>
        </w:rPr>
        <w:footnoteReference w:id="40"/>
      </w:r>
      <w:r w:rsidRPr="006A6CE3">
        <w:rPr>
          <w:rFonts w:cs="Arial"/>
          <w:bCs/>
        </w:rPr>
        <w:t>; and</w:t>
      </w:r>
      <w:bookmarkEnd w:id="93"/>
      <w:r w:rsidRPr="006A6CE3">
        <w:rPr>
          <w:rFonts w:cs="Arial"/>
          <w:bCs/>
        </w:rPr>
        <w:t xml:space="preserve"> </w:t>
      </w:r>
    </w:p>
    <w:p w:rsidR="00913351" w:rsidRPr="006A6CE3" w:rsidRDefault="00913351" w:rsidP="0086258B">
      <w:pPr>
        <w:numPr>
          <w:ilvl w:val="0"/>
          <w:numId w:val="3"/>
        </w:numPr>
        <w:spacing w:before="200" w:after="200"/>
        <w:rPr>
          <w:rFonts w:cs="Arial"/>
          <w:bCs/>
        </w:rPr>
      </w:pPr>
      <w:bookmarkStart w:id="94" w:name="_Toc340827178"/>
      <w:r w:rsidRPr="006A6CE3">
        <w:rPr>
          <w:rFonts w:cs="Arial"/>
          <w:bCs/>
        </w:rPr>
        <w:t>consider whether the information is apparently materially incorrect based on, or materially inconsistent with, the knowledge acquired by the auditor in the course of performing the audit</w:t>
      </w:r>
      <w:r w:rsidRPr="006A6CE3">
        <w:rPr>
          <w:rStyle w:val="FootnoteReference"/>
          <w:rFonts w:cs="Arial"/>
          <w:bCs/>
        </w:rPr>
        <w:footnoteReference w:id="41"/>
      </w:r>
      <w:r w:rsidRPr="006A6CE3">
        <w:rPr>
          <w:rFonts w:cs="Arial"/>
          <w:bCs/>
        </w:rPr>
        <w:t>; and</w:t>
      </w:r>
    </w:p>
    <w:p w:rsidR="00913351" w:rsidRPr="006A6CE3" w:rsidRDefault="00913351" w:rsidP="0086258B">
      <w:pPr>
        <w:numPr>
          <w:ilvl w:val="0"/>
          <w:numId w:val="3"/>
        </w:numPr>
        <w:spacing w:before="200" w:after="200"/>
        <w:rPr>
          <w:rFonts w:cs="Arial"/>
          <w:bCs/>
        </w:rPr>
      </w:pPr>
      <w:proofErr w:type="gramStart"/>
      <w:r w:rsidRPr="006A6CE3">
        <w:rPr>
          <w:rFonts w:cs="Arial"/>
          <w:bCs/>
        </w:rPr>
        <w:lastRenderedPageBreak/>
        <w:t>consider</w:t>
      </w:r>
      <w:proofErr w:type="gramEnd"/>
      <w:r w:rsidRPr="006A6CE3">
        <w:rPr>
          <w:rFonts w:cs="Arial"/>
          <w:bCs/>
        </w:rPr>
        <w:t xml:space="preserve"> the need to qualify their report if they become aware of such an inconsistency or apparent misstatement, and that matter is unresolved.  In addition, whilst they are not required to consider whether the directors’ report complies with the relevant laws and regulations, if they become aware of any material non-compliance (which might include becoming aware of failure to provide material emissions data) then they would need to discuss the matter with management and those charged with governance.</w:t>
      </w:r>
      <w:r w:rsidRPr="006A6CE3">
        <w:rPr>
          <w:rStyle w:val="FootnoteReference"/>
          <w:rFonts w:cs="Arial"/>
          <w:bCs/>
        </w:rPr>
        <w:footnoteReference w:id="42"/>
      </w:r>
    </w:p>
    <w:bookmarkEnd w:id="94"/>
    <w:p w:rsidR="00913351" w:rsidRPr="006A6CE3" w:rsidRDefault="00913351" w:rsidP="00E204D9">
      <w:pPr>
        <w:rPr>
          <w:rFonts w:cs="Arial"/>
          <w:bCs/>
        </w:rPr>
      </w:pPr>
      <w:r w:rsidRPr="006A6CE3">
        <w:rPr>
          <w:rFonts w:cs="Arial"/>
          <w:bCs/>
        </w:rPr>
        <w:t xml:space="preserve">Whilst assurance is not a regulatory requirement it is recommended as good practice.  Independent verification/assurance on the accuracy, completeness and consistency of GHG emissions data will be beneficial to both internal decision-making and for external stakeholders.  </w:t>
      </w:r>
    </w:p>
    <w:p w:rsidR="00913351" w:rsidRPr="006A6CE3" w:rsidRDefault="00913351" w:rsidP="00E204D9">
      <w:pPr>
        <w:rPr>
          <w:rFonts w:cs="Arial"/>
          <w:bCs/>
        </w:rPr>
      </w:pPr>
    </w:p>
    <w:p w:rsidR="00913351" w:rsidRPr="006A6CE3" w:rsidRDefault="00913351" w:rsidP="00BE3068">
      <w:pPr>
        <w:pStyle w:val="Heading2"/>
      </w:pPr>
      <w:bookmarkStart w:id="95" w:name="_Toc358302266"/>
      <w:bookmarkStart w:id="96" w:name="_Toc380763558"/>
      <w:r w:rsidRPr="006A6CE3">
        <w:t>Example corporate GHG report</w:t>
      </w:r>
      <w:bookmarkEnd w:id="95"/>
      <w:bookmarkEnd w:id="96"/>
      <w:r w:rsidRPr="006A6CE3">
        <w:t xml:space="preserve"> </w:t>
      </w:r>
    </w:p>
    <w:p w:rsidR="00913351" w:rsidRPr="006A6CE3" w:rsidRDefault="00913351" w:rsidP="00E204D9">
      <w:pPr>
        <w:rPr>
          <w:rFonts w:cs="Arial"/>
        </w:rPr>
      </w:pPr>
      <w:r w:rsidRPr="006A6CE3">
        <w:rPr>
          <w:rFonts w:cs="Arial"/>
        </w:rPr>
        <w:t>The table below shows the data-points that are required under the regulation.</w:t>
      </w:r>
    </w:p>
    <w:p w:rsidR="00913351" w:rsidRPr="006A6CE3" w:rsidRDefault="00913351" w:rsidP="00E204D9">
      <w:pPr>
        <w:rPr>
          <w:rFonts w:cs="Arial"/>
        </w:rPr>
      </w:pPr>
      <w:r w:rsidRPr="006A6CE3">
        <w:rPr>
          <w:rFonts w:cs="Arial"/>
        </w:rPr>
        <w:t xml:space="preserve">Companies are </w:t>
      </w:r>
      <w:r w:rsidRPr="006A6CE3">
        <w:rPr>
          <w:rFonts w:cs="Arial"/>
          <w:u w:val="single"/>
        </w:rPr>
        <w:t>not</w:t>
      </w:r>
      <w:r w:rsidRPr="006A6CE3">
        <w:rPr>
          <w:rFonts w:cs="Arial"/>
        </w:rPr>
        <w:t xml:space="preserve"> required to use this format. </w:t>
      </w:r>
      <w:proofErr w:type="gramStart"/>
      <w:r w:rsidRPr="006A6CE3">
        <w:rPr>
          <w:rFonts w:cs="Arial"/>
        </w:rPr>
        <w:t>Note that in the first year of reporting companies are not required to give a comparison year</w:t>
      </w:r>
      <w:r w:rsidRPr="006A6CE3">
        <w:rPr>
          <w:rStyle w:val="FootnoteReference"/>
          <w:rFonts w:cs="Arial"/>
        </w:rPr>
        <w:footnoteReference w:id="43"/>
      </w:r>
      <w:r w:rsidRPr="006A6CE3">
        <w:rPr>
          <w:rFonts w:cs="Arial"/>
        </w:rPr>
        <w:t>, so this table shows a second year of reporting.</w:t>
      </w:r>
      <w:proofErr w:type="gramEnd"/>
    </w:p>
    <w:tbl>
      <w:tblPr>
        <w:tblpPr w:leftFromText="180" w:rightFromText="180" w:vertAnchor="text" w:horzAnchor="margin" w:tblpY="101"/>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84"/>
        <w:gridCol w:w="4037"/>
      </w:tblGrid>
      <w:tr w:rsidR="00913351" w:rsidRPr="006A6CE3" w:rsidTr="00913351">
        <w:trPr>
          <w:trHeight w:val="841"/>
        </w:trPr>
        <w:tc>
          <w:tcPr>
            <w:tcW w:w="8330" w:type="dxa"/>
            <w:gridSpan w:val="3"/>
            <w:tcBorders>
              <w:top w:val="single" w:sz="4" w:space="0" w:color="auto"/>
              <w:left w:val="single" w:sz="4" w:space="0" w:color="auto"/>
              <w:bottom w:val="single" w:sz="4" w:space="0" w:color="auto"/>
              <w:right w:val="single" w:sz="4" w:space="0" w:color="auto"/>
            </w:tcBorders>
            <w:noWrap/>
            <w:vAlign w:val="bottom"/>
            <w:hideMark/>
          </w:tcPr>
          <w:p w:rsidR="00913351" w:rsidRPr="006A6CE3" w:rsidRDefault="00913351" w:rsidP="00E204D9">
            <w:pPr>
              <w:rPr>
                <w:rFonts w:cs="Arial"/>
                <w:color w:val="000000"/>
              </w:rPr>
            </w:pPr>
            <w:r w:rsidRPr="006A6CE3">
              <w:rPr>
                <w:rFonts w:cs="Arial"/>
                <w:color w:val="000000"/>
              </w:rPr>
              <w:t>Global  GHG emissions data for period 1 April 2014 to 31 March 2015</w:t>
            </w:r>
          </w:p>
        </w:tc>
      </w:tr>
      <w:tr w:rsidR="00913351" w:rsidRPr="006A6CE3" w:rsidTr="00913351">
        <w:trPr>
          <w:trHeight w:val="315"/>
        </w:trPr>
        <w:tc>
          <w:tcPr>
            <w:tcW w:w="3703" w:type="dxa"/>
            <w:tcBorders>
              <w:top w:val="single" w:sz="4" w:space="0" w:color="auto"/>
              <w:left w:val="single" w:sz="4" w:space="0" w:color="auto"/>
              <w:bottom w:val="single" w:sz="4" w:space="0" w:color="auto"/>
              <w:right w:val="single" w:sz="4" w:space="0" w:color="auto"/>
            </w:tcBorders>
            <w:noWrap/>
            <w:vAlign w:val="bottom"/>
            <w:hideMark/>
          </w:tcPr>
          <w:p w:rsidR="00913351" w:rsidRPr="006A6CE3" w:rsidRDefault="00913351" w:rsidP="00E204D9">
            <w:pPr>
              <w:spacing w:before="0" w:after="0" w:line="240" w:lineRule="auto"/>
              <w:rPr>
                <w:rFonts w:cs="Arial"/>
                <w:sz w:val="20"/>
                <w:lang w:eastAsia="en-GB"/>
              </w:rPr>
            </w:pPr>
          </w:p>
        </w:tc>
        <w:tc>
          <w:tcPr>
            <w:tcW w:w="4627" w:type="dxa"/>
            <w:gridSpan w:val="2"/>
            <w:tcBorders>
              <w:top w:val="single" w:sz="4" w:space="0" w:color="auto"/>
              <w:left w:val="single" w:sz="4" w:space="0" w:color="auto"/>
              <w:bottom w:val="single" w:sz="4" w:space="0" w:color="auto"/>
              <w:right w:val="single" w:sz="4" w:space="0" w:color="auto"/>
            </w:tcBorders>
            <w:noWrap/>
            <w:vAlign w:val="bottom"/>
            <w:hideMark/>
          </w:tcPr>
          <w:p w:rsidR="00913351" w:rsidRPr="006A6CE3" w:rsidRDefault="00913351" w:rsidP="00E204D9">
            <w:pPr>
              <w:rPr>
                <w:rFonts w:cs="Arial"/>
                <w:bCs/>
                <w:color w:val="000000"/>
              </w:rPr>
            </w:pPr>
            <w:r w:rsidRPr="006A6CE3">
              <w:rPr>
                <w:rFonts w:cs="Arial"/>
                <w:bCs/>
                <w:color w:val="000000"/>
              </w:rPr>
              <w:t>Tonnes of CO</w:t>
            </w:r>
            <w:r w:rsidRPr="006A6CE3">
              <w:rPr>
                <w:rFonts w:cs="Arial"/>
                <w:bCs/>
                <w:color w:val="000000"/>
                <w:vertAlign w:val="subscript"/>
              </w:rPr>
              <w:t>2</w:t>
            </w:r>
            <w:r w:rsidRPr="006A6CE3">
              <w:rPr>
                <w:rFonts w:cs="Arial"/>
                <w:bCs/>
                <w:color w:val="000000"/>
              </w:rPr>
              <w:t>e</w:t>
            </w:r>
          </w:p>
        </w:tc>
      </w:tr>
      <w:tr w:rsidR="00913351" w:rsidRPr="006A6CE3" w:rsidTr="00913351">
        <w:trPr>
          <w:trHeight w:val="90"/>
        </w:trPr>
        <w:tc>
          <w:tcPr>
            <w:tcW w:w="3703" w:type="dxa"/>
            <w:tcBorders>
              <w:top w:val="single" w:sz="4" w:space="0" w:color="auto"/>
              <w:left w:val="single" w:sz="4" w:space="0" w:color="auto"/>
              <w:bottom w:val="single" w:sz="4" w:space="0" w:color="auto"/>
              <w:right w:val="single" w:sz="4" w:space="0" w:color="auto"/>
            </w:tcBorders>
            <w:noWrap/>
            <w:vAlign w:val="bottom"/>
            <w:hideMark/>
          </w:tcPr>
          <w:p w:rsidR="00913351" w:rsidRPr="006A6CE3" w:rsidRDefault="00913351" w:rsidP="00E204D9">
            <w:pPr>
              <w:spacing w:before="0" w:after="0" w:line="240" w:lineRule="auto"/>
              <w:rPr>
                <w:rFonts w:cs="Arial"/>
                <w:sz w:val="20"/>
                <w:lang w:eastAsia="en-GB"/>
              </w:rPr>
            </w:pPr>
          </w:p>
        </w:tc>
        <w:tc>
          <w:tcPr>
            <w:tcW w:w="236" w:type="dxa"/>
            <w:tcBorders>
              <w:top w:val="single" w:sz="4" w:space="0" w:color="auto"/>
              <w:left w:val="single" w:sz="4" w:space="0" w:color="auto"/>
              <w:bottom w:val="single" w:sz="4" w:space="0" w:color="auto"/>
              <w:right w:val="single" w:sz="4" w:space="0" w:color="auto"/>
            </w:tcBorders>
            <w:noWrap/>
            <w:vAlign w:val="bottom"/>
            <w:hideMark/>
          </w:tcPr>
          <w:p w:rsidR="00913351" w:rsidRPr="006A6CE3" w:rsidRDefault="00913351" w:rsidP="00E204D9">
            <w:pPr>
              <w:rPr>
                <w:rFonts w:cs="Arial"/>
                <w:bCs/>
                <w:color w:val="000000"/>
              </w:rPr>
            </w:pPr>
            <w:r w:rsidRPr="006A6CE3">
              <w:rPr>
                <w:rFonts w:cs="Arial"/>
                <w:bCs/>
                <w:color w:val="000000"/>
              </w:rPr>
              <w:t>Current reporting year</w:t>
            </w:r>
          </w:p>
        </w:tc>
        <w:tc>
          <w:tcPr>
            <w:tcW w:w="4391" w:type="dxa"/>
            <w:tcBorders>
              <w:top w:val="single" w:sz="4" w:space="0" w:color="auto"/>
              <w:left w:val="single" w:sz="4" w:space="0" w:color="auto"/>
              <w:bottom w:val="single" w:sz="4" w:space="0" w:color="auto"/>
              <w:right w:val="single" w:sz="4" w:space="0" w:color="auto"/>
            </w:tcBorders>
            <w:noWrap/>
            <w:vAlign w:val="bottom"/>
            <w:hideMark/>
          </w:tcPr>
          <w:p w:rsidR="00913351" w:rsidRPr="006A6CE3" w:rsidRDefault="00913351" w:rsidP="00E204D9">
            <w:pPr>
              <w:rPr>
                <w:rFonts w:cs="Arial"/>
                <w:bCs/>
                <w:color w:val="000000"/>
              </w:rPr>
            </w:pPr>
            <w:r w:rsidRPr="006A6CE3">
              <w:rPr>
                <w:rFonts w:cs="Arial"/>
                <w:bCs/>
                <w:color w:val="000000"/>
              </w:rPr>
              <w:t>Comparison year</w:t>
            </w:r>
          </w:p>
        </w:tc>
      </w:tr>
      <w:tr w:rsidR="00913351" w:rsidRPr="006A6CE3" w:rsidTr="00913351">
        <w:trPr>
          <w:trHeight w:val="315"/>
        </w:trPr>
        <w:tc>
          <w:tcPr>
            <w:tcW w:w="3703" w:type="dxa"/>
            <w:tcBorders>
              <w:top w:val="single" w:sz="4" w:space="0" w:color="auto"/>
              <w:left w:val="single" w:sz="4" w:space="0" w:color="auto"/>
              <w:bottom w:val="single" w:sz="4" w:space="0" w:color="auto"/>
              <w:right w:val="single" w:sz="4" w:space="0" w:color="auto"/>
            </w:tcBorders>
            <w:noWrap/>
            <w:vAlign w:val="bottom"/>
            <w:hideMark/>
          </w:tcPr>
          <w:p w:rsidR="00913351" w:rsidRPr="006A6CE3" w:rsidRDefault="00913351" w:rsidP="00E204D9">
            <w:pPr>
              <w:rPr>
                <w:rFonts w:cs="Arial"/>
                <w:color w:val="000000"/>
              </w:rPr>
            </w:pPr>
            <w:r w:rsidRPr="006A6CE3">
              <w:rPr>
                <w:rFonts w:cs="Arial"/>
                <w:color w:val="000000"/>
              </w:rPr>
              <w:t>Emissions from:</w:t>
            </w:r>
          </w:p>
        </w:tc>
        <w:tc>
          <w:tcPr>
            <w:tcW w:w="236" w:type="dxa"/>
            <w:tcBorders>
              <w:top w:val="single" w:sz="4" w:space="0" w:color="auto"/>
              <w:left w:val="single" w:sz="4" w:space="0" w:color="auto"/>
              <w:bottom w:val="single" w:sz="4" w:space="0" w:color="auto"/>
              <w:right w:val="single" w:sz="4" w:space="0" w:color="auto"/>
            </w:tcBorders>
            <w:noWrap/>
            <w:vAlign w:val="bottom"/>
            <w:hideMark/>
          </w:tcPr>
          <w:p w:rsidR="00913351" w:rsidRPr="006A6CE3" w:rsidRDefault="00913351" w:rsidP="00E204D9">
            <w:pPr>
              <w:rPr>
                <w:rFonts w:cs="Arial"/>
                <w:bCs/>
                <w:color w:val="000000"/>
              </w:rPr>
            </w:pPr>
            <w:r w:rsidRPr="006A6CE3">
              <w:rPr>
                <w:rFonts w:cs="Arial"/>
                <w:bCs/>
                <w:color w:val="000000"/>
              </w:rPr>
              <w:t>2014-2015</w:t>
            </w:r>
          </w:p>
        </w:tc>
        <w:tc>
          <w:tcPr>
            <w:tcW w:w="4391" w:type="dxa"/>
            <w:tcBorders>
              <w:top w:val="single" w:sz="4" w:space="0" w:color="auto"/>
              <w:left w:val="single" w:sz="4" w:space="0" w:color="auto"/>
              <w:bottom w:val="single" w:sz="4" w:space="0" w:color="auto"/>
              <w:right w:val="single" w:sz="4" w:space="0" w:color="auto"/>
            </w:tcBorders>
            <w:noWrap/>
            <w:vAlign w:val="bottom"/>
            <w:hideMark/>
          </w:tcPr>
          <w:p w:rsidR="00913351" w:rsidRPr="006A6CE3" w:rsidRDefault="00913351" w:rsidP="00E204D9">
            <w:pPr>
              <w:rPr>
                <w:rFonts w:cs="Arial"/>
                <w:bCs/>
                <w:color w:val="000000"/>
              </w:rPr>
            </w:pPr>
            <w:r w:rsidRPr="006A6CE3">
              <w:rPr>
                <w:rFonts w:cs="Arial"/>
                <w:bCs/>
                <w:color w:val="000000"/>
              </w:rPr>
              <w:t>2013-2014</w:t>
            </w:r>
          </w:p>
        </w:tc>
      </w:tr>
      <w:tr w:rsidR="00913351" w:rsidRPr="006A6CE3" w:rsidTr="00913351">
        <w:trPr>
          <w:trHeight w:val="300"/>
        </w:trPr>
        <w:tc>
          <w:tcPr>
            <w:tcW w:w="3703" w:type="dxa"/>
            <w:tcBorders>
              <w:top w:val="single" w:sz="4" w:space="0" w:color="auto"/>
              <w:left w:val="single" w:sz="4" w:space="0" w:color="auto"/>
              <w:bottom w:val="single" w:sz="4" w:space="0" w:color="auto"/>
              <w:right w:val="single" w:sz="4" w:space="0" w:color="auto"/>
            </w:tcBorders>
            <w:noWrap/>
            <w:vAlign w:val="bottom"/>
            <w:hideMark/>
          </w:tcPr>
          <w:p w:rsidR="00913351" w:rsidRPr="006A6CE3" w:rsidRDefault="00913351" w:rsidP="00E204D9">
            <w:pPr>
              <w:rPr>
                <w:rFonts w:cs="Arial"/>
                <w:color w:val="000000"/>
              </w:rPr>
            </w:pPr>
            <w:r w:rsidRPr="006A6CE3">
              <w:rPr>
                <w:rFonts w:cs="Arial"/>
                <w:color w:val="000000"/>
              </w:rPr>
              <w:lastRenderedPageBreak/>
              <w:t xml:space="preserve">Combustion of fuel &amp; operation of facilities </w:t>
            </w:r>
          </w:p>
        </w:tc>
        <w:tc>
          <w:tcPr>
            <w:tcW w:w="236" w:type="dxa"/>
            <w:tcBorders>
              <w:top w:val="single" w:sz="4" w:space="0" w:color="auto"/>
              <w:left w:val="single" w:sz="4" w:space="0" w:color="auto"/>
              <w:bottom w:val="single" w:sz="4" w:space="0" w:color="auto"/>
              <w:right w:val="single" w:sz="4" w:space="0" w:color="auto"/>
            </w:tcBorders>
            <w:noWrap/>
            <w:vAlign w:val="bottom"/>
            <w:hideMark/>
          </w:tcPr>
          <w:p w:rsidR="00913351" w:rsidRPr="006A6CE3" w:rsidRDefault="00913351" w:rsidP="00E204D9">
            <w:pPr>
              <w:rPr>
                <w:rFonts w:cs="Arial"/>
                <w:color w:val="000000"/>
              </w:rPr>
            </w:pPr>
            <w:r w:rsidRPr="006A6CE3">
              <w:rPr>
                <w:rFonts w:cs="Arial"/>
                <w:color w:val="000000"/>
              </w:rPr>
              <w:t>18,100</w:t>
            </w:r>
          </w:p>
        </w:tc>
        <w:tc>
          <w:tcPr>
            <w:tcW w:w="4391" w:type="dxa"/>
            <w:tcBorders>
              <w:top w:val="single" w:sz="4" w:space="0" w:color="auto"/>
              <w:left w:val="single" w:sz="4" w:space="0" w:color="auto"/>
              <w:bottom w:val="single" w:sz="4" w:space="0" w:color="auto"/>
              <w:right w:val="single" w:sz="4" w:space="0" w:color="auto"/>
            </w:tcBorders>
            <w:noWrap/>
            <w:vAlign w:val="bottom"/>
            <w:hideMark/>
          </w:tcPr>
          <w:p w:rsidR="00913351" w:rsidRPr="006A6CE3" w:rsidRDefault="00913351" w:rsidP="00E204D9">
            <w:pPr>
              <w:rPr>
                <w:rFonts w:cs="Arial"/>
                <w:color w:val="000000"/>
                <w:vertAlign w:val="superscript"/>
              </w:rPr>
            </w:pPr>
            <w:r w:rsidRPr="006A6CE3">
              <w:rPr>
                <w:rFonts w:cs="Arial"/>
                <w:color w:val="000000"/>
              </w:rPr>
              <w:t>11,700</w:t>
            </w:r>
          </w:p>
        </w:tc>
      </w:tr>
      <w:tr w:rsidR="00913351" w:rsidRPr="006A6CE3" w:rsidTr="00913351">
        <w:trPr>
          <w:trHeight w:val="300"/>
        </w:trPr>
        <w:tc>
          <w:tcPr>
            <w:tcW w:w="3703" w:type="dxa"/>
            <w:tcBorders>
              <w:top w:val="single" w:sz="4" w:space="0" w:color="auto"/>
              <w:left w:val="single" w:sz="4" w:space="0" w:color="auto"/>
              <w:bottom w:val="single" w:sz="4" w:space="0" w:color="auto"/>
              <w:right w:val="single" w:sz="4" w:space="0" w:color="auto"/>
            </w:tcBorders>
            <w:noWrap/>
            <w:vAlign w:val="bottom"/>
            <w:hideMark/>
          </w:tcPr>
          <w:p w:rsidR="00913351" w:rsidRPr="006A6CE3" w:rsidRDefault="00913351" w:rsidP="00E204D9">
            <w:pPr>
              <w:rPr>
                <w:rFonts w:cs="Arial"/>
                <w:color w:val="000000"/>
              </w:rPr>
            </w:pPr>
            <w:r w:rsidRPr="006A6CE3">
              <w:rPr>
                <w:rFonts w:cs="Arial"/>
                <w:color w:val="000000"/>
              </w:rPr>
              <w:t>Electricity, heat, steam and cooling purchased for own use</w:t>
            </w:r>
          </w:p>
        </w:tc>
        <w:tc>
          <w:tcPr>
            <w:tcW w:w="236" w:type="dxa"/>
            <w:tcBorders>
              <w:top w:val="single" w:sz="4" w:space="0" w:color="auto"/>
              <w:left w:val="single" w:sz="4" w:space="0" w:color="auto"/>
              <w:bottom w:val="single" w:sz="4" w:space="0" w:color="auto"/>
              <w:right w:val="single" w:sz="4" w:space="0" w:color="auto"/>
            </w:tcBorders>
            <w:noWrap/>
            <w:vAlign w:val="bottom"/>
            <w:hideMark/>
          </w:tcPr>
          <w:p w:rsidR="00913351" w:rsidRPr="006A6CE3" w:rsidRDefault="00913351" w:rsidP="00E204D9">
            <w:pPr>
              <w:rPr>
                <w:rFonts w:cs="Arial"/>
                <w:color w:val="000000"/>
              </w:rPr>
            </w:pPr>
            <w:r w:rsidRPr="006A6CE3">
              <w:rPr>
                <w:rFonts w:cs="Arial"/>
                <w:color w:val="000000"/>
              </w:rPr>
              <w:t>14,500</w:t>
            </w:r>
          </w:p>
        </w:tc>
        <w:tc>
          <w:tcPr>
            <w:tcW w:w="4391" w:type="dxa"/>
            <w:tcBorders>
              <w:top w:val="single" w:sz="4" w:space="0" w:color="auto"/>
              <w:left w:val="single" w:sz="4" w:space="0" w:color="auto"/>
              <w:bottom w:val="single" w:sz="4" w:space="0" w:color="auto"/>
              <w:right w:val="single" w:sz="4" w:space="0" w:color="auto"/>
            </w:tcBorders>
            <w:noWrap/>
            <w:vAlign w:val="bottom"/>
            <w:hideMark/>
          </w:tcPr>
          <w:p w:rsidR="00913351" w:rsidRPr="006A6CE3" w:rsidRDefault="00913351" w:rsidP="00E204D9">
            <w:pPr>
              <w:rPr>
                <w:rFonts w:cs="Arial"/>
                <w:color w:val="000000"/>
              </w:rPr>
            </w:pPr>
            <w:r w:rsidRPr="006A6CE3">
              <w:rPr>
                <w:rFonts w:cs="Arial"/>
                <w:color w:val="000000"/>
              </w:rPr>
              <w:t>15,100</w:t>
            </w:r>
          </w:p>
        </w:tc>
      </w:tr>
      <w:tr w:rsidR="00913351" w:rsidRPr="006A6CE3" w:rsidTr="00913351">
        <w:trPr>
          <w:trHeight w:val="300"/>
        </w:trPr>
        <w:tc>
          <w:tcPr>
            <w:tcW w:w="3703" w:type="dxa"/>
            <w:tcBorders>
              <w:top w:val="single" w:sz="4" w:space="0" w:color="auto"/>
              <w:left w:val="single" w:sz="4" w:space="0" w:color="auto"/>
              <w:bottom w:val="single" w:sz="4" w:space="0" w:color="auto"/>
              <w:right w:val="single" w:sz="4" w:space="0" w:color="auto"/>
            </w:tcBorders>
            <w:noWrap/>
            <w:hideMark/>
          </w:tcPr>
          <w:p w:rsidR="00913351" w:rsidRPr="006A6CE3" w:rsidRDefault="00913351" w:rsidP="00E204D9">
            <w:pPr>
              <w:rPr>
                <w:rFonts w:cs="Arial"/>
                <w:color w:val="000000"/>
              </w:rPr>
            </w:pPr>
            <w:r w:rsidRPr="006A6CE3">
              <w:rPr>
                <w:rFonts w:cs="Arial"/>
                <w:color w:val="000000"/>
              </w:rPr>
              <w:t>Company’s chosen intensity measurement:</w:t>
            </w:r>
          </w:p>
          <w:p w:rsidR="00913351" w:rsidRPr="006A6CE3" w:rsidRDefault="00913351" w:rsidP="00E204D9">
            <w:pPr>
              <w:rPr>
                <w:rFonts w:cs="Arial"/>
                <w:color w:val="000000"/>
              </w:rPr>
            </w:pPr>
            <w:r w:rsidRPr="006A6CE3">
              <w:rPr>
                <w:rFonts w:cs="Arial"/>
                <w:color w:val="000000"/>
              </w:rPr>
              <w:t>Emissions reported above normalised to per tonne of product output</w:t>
            </w:r>
          </w:p>
        </w:tc>
        <w:tc>
          <w:tcPr>
            <w:tcW w:w="236" w:type="dxa"/>
            <w:tcBorders>
              <w:top w:val="single" w:sz="4" w:space="0" w:color="auto"/>
              <w:left w:val="single" w:sz="4" w:space="0" w:color="auto"/>
              <w:bottom w:val="single" w:sz="4" w:space="0" w:color="auto"/>
              <w:right w:val="single" w:sz="4" w:space="0" w:color="auto"/>
            </w:tcBorders>
            <w:noWrap/>
            <w:hideMark/>
          </w:tcPr>
          <w:p w:rsidR="00913351" w:rsidRPr="006A6CE3" w:rsidRDefault="00913351" w:rsidP="00E204D9">
            <w:pPr>
              <w:rPr>
                <w:rFonts w:cs="Arial"/>
                <w:color w:val="000000"/>
              </w:rPr>
            </w:pPr>
            <w:r w:rsidRPr="006A6CE3">
              <w:rPr>
                <w:rFonts w:cs="Arial"/>
                <w:color w:val="000000"/>
              </w:rPr>
              <w:t>0.49</w:t>
            </w:r>
          </w:p>
        </w:tc>
        <w:tc>
          <w:tcPr>
            <w:tcW w:w="4391" w:type="dxa"/>
            <w:tcBorders>
              <w:top w:val="single" w:sz="4" w:space="0" w:color="auto"/>
              <w:left w:val="single" w:sz="4" w:space="0" w:color="auto"/>
              <w:bottom w:val="single" w:sz="4" w:space="0" w:color="auto"/>
              <w:right w:val="single" w:sz="4" w:space="0" w:color="auto"/>
            </w:tcBorders>
            <w:noWrap/>
            <w:hideMark/>
          </w:tcPr>
          <w:p w:rsidR="00913351" w:rsidRPr="006A6CE3" w:rsidRDefault="00913351" w:rsidP="00E204D9">
            <w:pPr>
              <w:rPr>
                <w:rFonts w:cs="Arial"/>
                <w:color w:val="000000"/>
              </w:rPr>
            </w:pPr>
            <w:r w:rsidRPr="006A6CE3">
              <w:rPr>
                <w:rFonts w:cs="Arial"/>
                <w:color w:val="000000"/>
              </w:rPr>
              <w:t>0.54</w:t>
            </w:r>
          </w:p>
        </w:tc>
      </w:tr>
    </w:tbl>
    <w:p w:rsidR="00913351" w:rsidRPr="006A6CE3" w:rsidRDefault="00913351" w:rsidP="00E204D9">
      <w:pPr>
        <w:rPr>
          <w:rFonts w:cs="Arial"/>
          <w:b/>
        </w:rPr>
      </w:pPr>
    </w:p>
    <w:p w:rsidR="00913351" w:rsidRPr="006A6CE3" w:rsidRDefault="00913351" w:rsidP="00E204D9">
      <w:pPr>
        <w:rPr>
          <w:rFonts w:cs="Arial"/>
          <w:b/>
          <w:i/>
        </w:rPr>
      </w:pPr>
      <w:r w:rsidRPr="006A6CE3">
        <w:rPr>
          <w:rFonts w:cs="Arial"/>
          <w:b/>
          <w:i/>
        </w:rPr>
        <w:t>Methodology</w:t>
      </w:r>
    </w:p>
    <w:p w:rsidR="00913351" w:rsidRPr="006A6CE3" w:rsidRDefault="00913351" w:rsidP="00E204D9">
      <w:pPr>
        <w:rPr>
          <w:rFonts w:cs="Arial"/>
          <w:i/>
        </w:rPr>
      </w:pPr>
      <w:r w:rsidRPr="006A6CE3">
        <w:rPr>
          <w:rFonts w:cs="Arial"/>
          <w:i/>
        </w:rPr>
        <w:t xml:space="preserve">We have reported on all of the emission sources required under the Companies Act 2006 (Strategic Report and Directors’ Reports) Regulations 2013. These sources fall within our consolidated financial statement. We do not have responsibility for any emission sources that are not included in our consolidated statement. </w:t>
      </w:r>
    </w:p>
    <w:p w:rsidR="00913351" w:rsidRPr="006A6CE3" w:rsidRDefault="00913351" w:rsidP="00E204D9">
      <w:pPr>
        <w:rPr>
          <w:rFonts w:cs="Arial"/>
          <w:i/>
        </w:rPr>
      </w:pPr>
      <w:r w:rsidRPr="006A6CE3">
        <w:rPr>
          <w:rFonts w:cs="Arial"/>
          <w:i/>
        </w:rPr>
        <w:t xml:space="preserve">We have used the GHG Protocol Corporate Accounting and Reporting Standard (revised edition), data gathered to fulfil our requirements under the CRC Energy Efficiency scheme, and emission factors from UK Government’s GHG Conversion Factors for Company Reporting 2014. </w:t>
      </w:r>
    </w:p>
    <w:p w:rsidR="00913351" w:rsidRPr="006A6CE3" w:rsidRDefault="00913351" w:rsidP="00E204D9">
      <w:pPr>
        <w:rPr>
          <w:rFonts w:cs="Arial"/>
          <w:bCs/>
          <w:highlight w:val="yellow"/>
        </w:rPr>
      </w:pPr>
    </w:p>
    <w:p w:rsidR="00913351" w:rsidRPr="006A6CE3" w:rsidRDefault="00913351" w:rsidP="00BE3068">
      <w:pPr>
        <w:pStyle w:val="Heading2"/>
      </w:pPr>
      <w:bookmarkStart w:id="97" w:name="_Toc358302267"/>
      <w:bookmarkStart w:id="98" w:name="_Toc380763559"/>
      <w:r w:rsidRPr="006A6CE3">
        <w:t>Who will enforce mandatory reporting requirements?</w:t>
      </w:r>
      <w:bookmarkEnd w:id="97"/>
      <w:bookmarkEnd w:id="98"/>
    </w:p>
    <w:p w:rsidR="00913351" w:rsidRPr="006A6CE3" w:rsidRDefault="00913351" w:rsidP="00E204D9">
      <w:pPr>
        <w:rPr>
          <w:rFonts w:cs="Arial"/>
        </w:rPr>
      </w:pPr>
      <w:r w:rsidRPr="006A6CE3">
        <w:rPr>
          <w:rFonts w:cs="Arial"/>
        </w:rPr>
        <w:t xml:space="preserve">The regulations are made under the Companies Act 2006.  The Conduct Committee of the Financial Reporting Council is responsible for monitoring compliance of company reports and accounts with relevant reporting requirements of that Act.  The Committee has the power to enquire into cases where it appears that relevant disclosures have not been provided.  The Committee also has the power to apply to the court under section 456 of the Act for a declaration that the annual report or accounts of a company do not </w:t>
      </w:r>
      <w:r w:rsidRPr="006A6CE3">
        <w:rPr>
          <w:rFonts w:cs="Arial"/>
        </w:rPr>
        <w:lastRenderedPageBreak/>
        <w:t xml:space="preserve">comply with the requirements and for an order requiring the directors to prepare a revised report and/or set of accounts.  </w:t>
      </w:r>
    </w:p>
    <w:p w:rsidR="00913351" w:rsidRPr="006A6CE3" w:rsidRDefault="00913351" w:rsidP="00E204D9">
      <w:pPr>
        <w:rPr>
          <w:rFonts w:cs="Arial"/>
          <w:b/>
        </w:rPr>
      </w:pPr>
      <w:r w:rsidRPr="006A6CE3">
        <w:rPr>
          <w:rFonts w:cs="Arial"/>
        </w:rPr>
        <w:t xml:space="preserve">As far as possible, however, the Conduct Committee operates by agreement with companies whose reports it reviews and, to date, has achieved its objectives without recourse to court.    The Committee exercises its functions with regard to the principles of good regulation including proportionality, consistency and targeting.  It raises concerns with companies where there is evidence of apparent substantive non-compliance.  It also responds to well informed complaints. </w:t>
      </w:r>
      <w:bookmarkEnd w:id="70"/>
    </w:p>
    <w:p w:rsidR="00913351" w:rsidRPr="006A6CE3" w:rsidRDefault="00913351" w:rsidP="00E204D9">
      <w:pPr>
        <w:pStyle w:val="Heading1"/>
        <w:rPr>
          <w:rFonts w:eastAsia="Calibri" w:cs="Arial"/>
        </w:rPr>
      </w:pPr>
      <w:bookmarkStart w:id="99" w:name="_Chapter_3_–"/>
      <w:bookmarkEnd w:id="99"/>
      <w:r w:rsidRPr="006A6CE3">
        <w:rPr>
          <w:rFonts w:cs="Arial"/>
        </w:rPr>
        <w:br w:type="page"/>
      </w:r>
      <w:bookmarkStart w:id="100" w:name="_Toc225755222"/>
      <w:bookmarkStart w:id="101" w:name="_Toc225855400"/>
      <w:bookmarkStart w:id="102" w:name="_Toc226171005"/>
      <w:bookmarkStart w:id="103" w:name="_Toc226181006"/>
      <w:bookmarkStart w:id="104" w:name="_Toc226544131"/>
      <w:bookmarkStart w:id="105" w:name="_Toc227061241"/>
      <w:bookmarkStart w:id="106" w:name="_Toc227061581"/>
      <w:bookmarkStart w:id="107" w:name="_Toc227061722"/>
      <w:bookmarkStart w:id="108" w:name="_Toc227062144"/>
      <w:bookmarkStart w:id="109" w:name="Part3"/>
      <w:bookmarkStart w:id="110" w:name="_Toc343016839"/>
      <w:bookmarkStart w:id="111" w:name="_Toc358054483"/>
      <w:bookmarkStart w:id="112" w:name="_Toc358054563"/>
      <w:bookmarkStart w:id="113" w:name="_Toc358060203"/>
      <w:bookmarkStart w:id="114" w:name="_Toc358302268"/>
      <w:bookmarkStart w:id="115" w:name="_Toc380763560"/>
      <w:r w:rsidRPr="006A6CE3">
        <w:rPr>
          <w:rFonts w:cs="Arial"/>
        </w:rPr>
        <w:lastRenderedPageBreak/>
        <w:t xml:space="preserve">Chapter 3 – </w:t>
      </w:r>
      <w:bookmarkEnd w:id="100"/>
      <w:bookmarkEnd w:id="101"/>
      <w:bookmarkEnd w:id="102"/>
      <w:bookmarkEnd w:id="103"/>
      <w:bookmarkEnd w:id="104"/>
      <w:bookmarkEnd w:id="105"/>
      <w:bookmarkEnd w:id="106"/>
      <w:bookmarkEnd w:id="107"/>
      <w:bookmarkEnd w:id="108"/>
      <w:bookmarkEnd w:id="109"/>
      <w:bookmarkEnd w:id="110"/>
      <w:r w:rsidRPr="006A6CE3">
        <w:rPr>
          <w:rFonts w:cs="Arial"/>
        </w:rPr>
        <w:t>Voluntary greenhouse gas reporting</w:t>
      </w:r>
      <w:bookmarkEnd w:id="111"/>
      <w:bookmarkEnd w:id="112"/>
      <w:bookmarkEnd w:id="113"/>
      <w:bookmarkEnd w:id="114"/>
      <w:bookmarkEnd w:id="115"/>
    </w:p>
    <w:p w:rsidR="00913351" w:rsidRPr="006A6CE3" w:rsidRDefault="00913351" w:rsidP="00E204D9">
      <w:pPr>
        <w:rPr>
          <w:rFonts w:cs="Arial"/>
          <w:color w:val="000000"/>
        </w:rPr>
      </w:pPr>
      <w:r w:rsidRPr="006A6CE3">
        <w:rPr>
          <w:rFonts w:cs="Arial"/>
        </w:rPr>
        <w:t xml:space="preserve">The guidance  in this chapter is based on an internationally-recognised standard from the World Resources Institute and World Business Council for Sustainable Development: the GHG Protocol Corporate Accounting and Reporting Standard  </w:t>
      </w:r>
      <w:hyperlink r:id="rId41" w:history="1">
        <w:r w:rsidRPr="006A6CE3">
          <w:rPr>
            <w:rStyle w:val="Hyperlink"/>
            <w:rFonts w:cs="Arial"/>
          </w:rPr>
          <w:t>“the Corporate Standard”</w:t>
        </w:r>
      </w:hyperlink>
      <w:r w:rsidRPr="006A6CE3">
        <w:rPr>
          <w:rFonts w:cs="Arial"/>
        </w:rPr>
        <w:t xml:space="preserve"> and so corresponds with many widely used national and international voluntary schemes such as the </w:t>
      </w:r>
      <w:hyperlink r:id="rId42" w:history="1">
        <w:r w:rsidRPr="006A6CE3">
          <w:rPr>
            <w:rStyle w:val="Hyperlink"/>
            <w:rFonts w:cs="Arial"/>
          </w:rPr>
          <w:t>International Organisation for Standardisation (ISO) 14064-1</w:t>
        </w:r>
      </w:hyperlink>
      <w:r w:rsidRPr="006A6CE3">
        <w:rPr>
          <w:rFonts w:cs="Arial"/>
        </w:rPr>
        <w:t xml:space="preserve"> , </w:t>
      </w:r>
      <w:hyperlink r:id="rId43" w:history="1">
        <w:r w:rsidRPr="006A6CE3">
          <w:rPr>
            <w:rStyle w:val="Hyperlink"/>
            <w:rFonts w:cs="Arial"/>
          </w:rPr>
          <w:t>CDP</w:t>
        </w:r>
      </w:hyperlink>
      <w:r w:rsidRPr="006A6CE3">
        <w:rPr>
          <w:rFonts w:cs="Arial"/>
        </w:rPr>
        <w:t xml:space="preserve">,  and the Climate Disclosure Standards Board’s </w:t>
      </w:r>
      <w:hyperlink r:id="rId44" w:history="1">
        <w:r w:rsidRPr="006A6CE3">
          <w:rPr>
            <w:rStyle w:val="Hyperlink"/>
            <w:rFonts w:cs="Arial"/>
          </w:rPr>
          <w:t>Climate Change Reporting Framework version 1.1</w:t>
        </w:r>
      </w:hyperlink>
      <w:r w:rsidRPr="006A6CE3">
        <w:rPr>
          <w:rFonts w:cs="Arial"/>
        </w:rPr>
        <w:t xml:space="preserve">.  This guidance is also based on a second standard from the GHG Protocol team: the Corporate Value Chain (Scope 3) Standard. This is referred to as the </w:t>
      </w:r>
      <w:hyperlink r:id="rId45" w:history="1">
        <w:r w:rsidRPr="006A6CE3">
          <w:rPr>
            <w:rStyle w:val="Hyperlink"/>
            <w:rFonts w:cs="Arial"/>
          </w:rPr>
          <w:t>“GHG Protocol Scope 3”</w:t>
        </w:r>
      </w:hyperlink>
      <w:r w:rsidRPr="006A6CE3">
        <w:rPr>
          <w:rFonts w:cs="Arial"/>
        </w:rPr>
        <w:t xml:space="preserve"> standard.  </w:t>
      </w:r>
    </w:p>
    <w:p w:rsidR="00913351" w:rsidRPr="006A6CE3" w:rsidRDefault="00913351" w:rsidP="00E204D9">
      <w:pPr>
        <w:rPr>
          <w:rFonts w:cs="Arial"/>
        </w:rPr>
      </w:pPr>
      <w:r w:rsidRPr="006A6CE3">
        <w:rPr>
          <w:rFonts w:cs="Arial"/>
        </w:rPr>
        <w:t xml:space="preserve">Some organisations already report emissions data for regulatory schemes such as the EU Emissions Trading </w:t>
      </w:r>
      <w:r w:rsidR="009C4F8E" w:rsidRPr="006A6CE3">
        <w:rPr>
          <w:rFonts w:cs="Arial"/>
        </w:rPr>
        <w:t>System,</w:t>
      </w:r>
      <w:r w:rsidRPr="006A6CE3">
        <w:rPr>
          <w:rFonts w:cs="Arial"/>
        </w:rPr>
        <w:t xml:space="preserve"> Climate Change Agreements or the CRC Energy Efficiency Scheme</w:t>
      </w:r>
      <w:r w:rsidR="009C4F8E" w:rsidRPr="006A6CE3">
        <w:rPr>
          <w:rFonts w:cs="Arial"/>
        </w:rPr>
        <w:t>.</w:t>
      </w:r>
      <w:r w:rsidRPr="006A6CE3">
        <w:rPr>
          <w:rFonts w:cs="Arial"/>
        </w:rPr>
        <w:t xml:space="preserve">  These schemes only cover some of an organisation’s GHG emissions, whereas this guidance covers an organisation’s </w:t>
      </w:r>
      <w:r w:rsidRPr="006A6CE3">
        <w:rPr>
          <w:rFonts w:cs="Arial"/>
          <w:b/>
        </w:rPr>
        <w:t>total</w:t>
      </w:r>
      <w:r w:rsidRPr="006A6CE3">
        <w:rPr>
          <w:rFonts w:cs="Arial"/>
        </w:rPr>
        <w:t xml:space="preserve"> GHG emissions (also known as its corporate carbon footprint).</w:t>
      </w:r>
    </w:p>
    <w:p w:rsidR="00913351" w:rsidRPr="006A6CE3" w:rsidRDefault="00913351" w:rsidP="00E204D9">
      <w:pPr>
        <w:shd w:val="clear" w:color="auto" w:fill="FFFFFF"/>
        <w:rPr>
          <w:rFonts w:cs="Arial"/>
        </w:rPr>
      </w:pPr>
      <w:r w:rsidRPr="006A6CE3">
        <w:rPr>
          <w:rFonts w:cs="Arial"/>
        </w:rPr>
        <w:t xml:space="preserve">Please review the section on </w:t>
      </w:r>
      <w:hyperlink w:anchor="_Principles_for_accounting" w:history="1">
        <w:r w:rsidRPr="006A6CE3">
          <w:rPr>
            <w:rStyle w:val="Hyperlink"/>
            <w:rFonts w:cs="Arial"/>
          </w:rPr>
          <w:t>principles</w:t>
        </w:r>
      </w:hyperlink>
      <w:r w:rsidRPr="006A6CE3">
        <w:rPr>
          <w:rFonts w:cs="Arial"/>
        </w:rPr>
        <w:t xml:space="preserve"> in the general guidance on collecting and reporting environmental impact data. You should use these principles as a yardstick when assessing whether your inventory is fit for purpose.</w:t>
      </w:r>
    </w:p>
    <w:p w:rsidR="00913351" w:rsidRPr="006A6CE3" w:rsidRDefault="00913351" w:rsidP="00E00CA8">
      <w:pPr>
        <w:pStyle w:val="Heading2"/>
      </w:pPr>
      <w:bookmarkStart w:id="116" w:name="_Toc343016840"/>
      <w:bookmarkStart w:id="117" w:name="_Toc358054564"/>
      <w:bookmarkStart w:id="118" w:name="_Toc358060204"/>
      <w:bookmarkStart w:id="119" w:name="_Toc358302269"/>
      <w:bookmarkStart w:id="120" w:name="_Toc380763561"/>
      <w:r w:rsidRPr="006A6CE3">
        <w:t>What emissions should I report?</w:t>
      </w:r>
      <w:bookmarkEnd w:id="116"/>
      <w:bookmarkEnd w:id="117"/>
      <w:bookmarkEnd w:id="118"/>
      <w:bookmarkEnd w:id="119"/>
      <w:bookmarkEnd w:id="120"/>
      <w:r w:rsidRPr="006A6CE3">
        <w:t xml:space="preserve"> </w:t>
      </w:r>
    </w:p>
    <w:p w:rsidR="00D91F2C" w:rsidRDefault="00913351" w:rsidP="00023DF9">
      <w:pPr>
        <w:numPr>
          <w:ilvl w:val="0"/>
          <w:numId w:val="75"/>
        </w:numPr>
        <w:autoSpaceDE w:val="0"/>
        <w:autoSpaceDN w:val="0"/>
        <w:rPr>
          <w:rFonts w:ascii="ArialMT" w:hAnsi="ArialMT" w:cs="Arial"/>
          <w:szCs w:val="24"/>
        </w:rPr>
      </w:pPr>
      <w:r w:rsidRPr="006A6CE3">
        <w:rPr>
          <w:rFonts w:cs="Arial"/>
        </w:rPr>
        <w:t xml:space="preserve">A number of gases contribute to climate change. The Kyoto Protocol – the  international agreement addressing climate change </w:t>
      </w:r>
      <w:r w:rsidR="00C07BE0">
        <w:rPr>
          <w:rFonts w:cs="Arial"/>
        </w:rPr>
        <w:t>–</w:t>
      </w:r>
      <w:r w:rsidRPr="006A6CE3">
        <w:rPr>
          <w:rFonts w:cs="Arial"/>
        </w:rPr>
        <w:t xml:space="preserve"> </w:t>
      </w:r>
      <w:r w:rsidR="00C07BE0">
        <w:rPr>
          <w:rFonts w:cs="Arial"/>
        </w:rPr>
        <w:t xml:space="preserve">originally </w:t>
      </w:r>
      <w:r w:rsidRPr="006A6CE3">
        <w:rPr>
          <w:rFonts w:cs="Arial"/>
        </w:rPr>
        <w:t>cover</w:t>
      </w:r>
      <w:r w:rsidR="00C07BE0">
        <w:rPr>
          <w:rFonts w:cs="Arial"/>
        </w:rPr>
        <w:t>ed</w:t>
      </w:r>
      <w:r w:rsidRPr="006A6CE3">
        <w:rPr>
          <w:rFonts w:cs="Arial"/>
        </w:rPr>
        <w:t xml:space="preserve">  six  GHGs</w:t>
      </w:r>
      <w:r w:rsidR="00C07BE0">
        <w:rPr>
          <w:rFonts w:cs="Arial"/>
        </w:rPr>
        <w:t xml:space="preserve"> or families of GHGs</w:t>
      </w:r>
      <w:r w:rsidRPr="006A6CE3">
        <w:rPr>
          <w:rFonts w:cs="Arial"/>
        </w:rPr>
        <w:t>: carbon dioxide (CO</w:t>
      </w:r>
      <w:r w:rsidRPr="006A6CE3">
        <w:rPr>
          <w:rFonts w:cs="Arial"/>
          <w:vertAlign w:val="subscript"/>
        </w:rPr>
        <w:t>2</w:t>
      </w:r>
      <w:r w:rsidRPr="006A6CE3">
        <w:rPr>
          <w:rFonts w:cs="Arial"/>
        </w:rPr>
        <w:t>), methane (CH</w:t>
      </w:r>
      <w:r w:rsidRPr="006A6CE3">
        <w:rPr>
          <w:rFonts w:cs="Arial"/>
          <w:vertAlign w:val="subscript"/>
        </w:rPr>
        <w:t>4</w:t>
      </w:r>
      <w:r w:rsidRPr="006A6CE3">
        <w:rPr>
          <w:rFonts w:cs="Arial"/>
        </w:rPr>
        <w:t xml:space="preserve">), </w:t>
      </w:r>
      <w:proofErr w:type="spellStart"/>
      <w:r w:rsidRPr="006A6CE3">
        <w:rPr>
          <w:rFonts w:cs="Arial"/>
        </w:rPr>
        <w:t>hydrofluorocarbons</w:t>
      </w:r>
      <w:proofErr w:type="spellEnd"/>
      <w:r w:rsidRPr="006A6CE3">
        <w:rPr>
          <w:rFonts w:cs="Arial"/>
        </w:rPr>
        <w:t xml:space="preserve"> (HFCs), nitrous oxide (N</w:t>
      </w:r>
      <w:r w:rsidRPr="006A6CE3">
        <w:rPr>
          <w:rFonts w:cs="Arial"/>
          <w:vertAlign w:val="subscript"/>
        </w:rPr>
        <w:t>2</w:t>
      </w:r>
      <w:r w:rsidRPr="006A6CE3">
        <w:rPr>
          <w:rFonts w:cs="Arial"/>
        </w:rPr>
        <w:t xml:space="preserve">O), </w:t>
      </w:r>
      <w:proofErr w:type="spellStart"/>
      <w:r w:rsidRPr="006A6CE3">
        <w:rPr>
          <w:rFonts w:cs="Arial"/>
        </w:rPr>
        <w:t>perfluorocarbons</w:t>
      </w:r>
      <w:proofErr w:type="spellEnd"/>
      <w:r w:rsidRPr="006A6CE3">
        <w:rPr>
          <w:rFonts w:cs="Arial"/>
        </w:rPr>
        <w:t xml:space="preserve"> (PFCs) and sulphur hexafluoride (SF</w:t>
      </w:r>
      <w:r w:rsidRPr="006A6CE3">
        <w:rPr>
          <w:rFonts w:cs="Arial"/>
          <w:vertAlign w:val="subscript"/>
        </w:rPr>
        <w:t>6</w:t>
      </w:r>
      <w:r w:rsidRPr="006A6CE3">
        <w:rPr>
          <w:rFonts w:cs="Arial"/>
        </w:rPr>
        <w:t>).</w:t>
      </w:r>
      <w:r w:rsidR="00C07BE0">
        <w:rPr>
          <w:rFonts w:cs="Arial"/>
        </w:rPr>
        <w:t xml:space="preserve"> However, nitrogen </w:t>
      </w:r>
      <w:proofErr w:type="spellStart"/>
      <w:r w:rsidR="00C07BE0">
        <w:rPr>
          <w:rFonts w:cs="Arial"/>
        </w:rPr>
        <w:t>triflu</w:t>
      </w:r>
      <w:r w:rsidR="00897C11">
        <w:rPr>
          <w:rFonts w:cs="Arial"/>
        </w:rPr>
        <w:t>o</w:t>
      </w:r>
      <w:r w:rsidR="00C07BE0">
        <w:rPr>
          <w:rFonts w:cs="Arial"/>
        </w:rPr>
        <w:t>ride</w:t>
      </w:r>
      <w:proofErr w:type="spellEnd"/>
      <w:r w:rsidR="00C07BE0">
        <w:rPr>
          <w:rFonts w:cs="Arial"/>
        </w:rPr>
        <w:t xml:space="preserve"> (NF</w:t>
      </w:r>
      <w:r w:rsidR="00C07BE0" w:rsidRPr="00C07BE0">
        <w:rPr>
          <w:rFonts w:cs="Arial"/>
          <w:vertAlign w:val="subscript"/>
        </w:rPr>
        <w:t>3</w:t>
      </w:r>
      <w:r w:rsidR="00C07BE0">
        <w:rPr>
          <w:rFonts w:cs="Arial"/>
        </w:rPr>
        <w:t xml:space="preserve">) was added to this list for the second commitment period of the protocol. </w:t>
      </w:r>
      <w:r w:rsidR="00897C11">
        <w:rPr>
          <w:rFonts w:cs="Arial"/>
        </w:rPr>
        <w:t>A</w:t>
      </w:r>
      <w:r w:rsidR="00897C11">
        <w:rPr>
          <w:rFonts w:ascii="ArialMT" w:hAnsi="ArialMT"/>
          <w:szCs w:val="24"/>
        </w:rPr>
        <w:t>s a result</w:t>
      </w:r>
      <w:r w:rsidR="001B2474">
        <w:rPr>
          <w:rFonts w:ascii="ArialMT" w:hAnsi="ArialMT"/>
          <w:szCs w:val="24"/>
        </w:rPr>
        <w:t>,</w:t>
      </w:r>
      <w:r w:rsidR="00897C11">
        <w:rPr>
          <w:rFonts w:ascii="ArialMT" w:hAnsi="ArialMT"/>
          <w:szCs w:val="24"/>
        </w:rPr>
        <w:t xml:space="preserve"> leading GHG accounting methodologies such as the GHG Protocol standards on which these guidelines are based have been amended too. To conform to these Defra guidelines, companies with nitrogen </w:t>
      </w:r>
      <w:proofErr w:type="spellStart"/>
      <w:r w:rsidR="00897C11">
        <w:rPr>
          <w:rFonts w:ascii="ArialMT" w:hAnsi="ArialMT"/>
          <w:szCs w:val="24"/>
        </w:rPr>
        <w:t>trifluoride</w:t>
      </w:r>
      <w:proofErr w:type="spellEnd"/>
      <w:r w:rsidR="00897C11">
        <w:rPr>
          <w:rFonts w:ascii="ArialMT" w:hAnsi="ArialMT"/>
          <w:szCs w:val="24"/>
        </w:rPr>
        <w:t xml:space="preserve"> emissions in any of the scopes should include these emissions within their inventories.</w:t>
      </w:r>
      <w:r w:rsidR="00CD33C4">
        <w:rPr>
          <w:rFonts w:ascii="ArialMT" w:hAnsi="ArialMT"/>
          <w:szCs w:val="24"/>
        </w:rPr>
        <w:t xml:space="preserve"> This will however be going beyond what is required in the mandatory reporting regulations for quoted companies covered in </w:t>
      </w:r>
      <w:r w:rsidR="00CD33C4">
        <w:rPr>
          <w:rFonts w:ascii="ArialMT" w:hAnsi="ArialMT"/>
          <w:szCs w:val="24"/>
        </w:rPr>
        <w:lastRenderedPageBreak/>
        <w:t xml:space="preserve">Chapter 2. The mandatory reporting regulations draw on a list of GHGs </w:t>
      </w:r>
      <w:r w:rsidR="00503540">
        <w:rPr>
          <w:rFonts w:ascii="ArialMT" w:hAnsi="ArialMT"/>
          <w:szCs w:val="24"/>
        </w:rPr>
        <w:t>from</w:t>
      </w:r>
      <w:r w:rsidR="00CD33C4" w:rsidRPr="00CD33C4">
        <w:rPr>
          <w:rFonts w:ascii="ArialMT" w:hAnsi="ArialMT" w:cs="Arial"/>
          <w:szCs w:val="24"/>
          <w:lang w:eastAsia="en-GB"/>
        </w:rPr>
        <w:t xml:space="preserve"> section 92 of the Climate Change Act 2008</w:t>
      </w:r>
      <w:r w:rsidR="00503540">
        <w:rPr>
          <w:rFonts w:ascii="ArialMT" w:hAnsi="ArialMT" w:cs="Arial"/>
          <w:szCs w:val="24"/>
          <w:lang w:eastAsia="en-GB"/>
        </w:rPr>
        <w:t xml:space="preserve"> which pre-dates the addition </w:t>
      </w:r>
      <w:r w:rsidR="007A6284">
        <w:rPr>
          <w:rFonts w:ascii="ArialMT" w:hAnsi="ArialMT" w:cs="Arial"/>
          <w:szCs w:val="24"/>
          <w:lang w:eastAsia="en-GB"/>
        </w:rPr>
        <w:t xml:space="preserve">of </w:t>
      </w:r>
      <w:r w:rsidR="00654EF5">
        <w:rPr>
          <w:rFonts w:ascii="ArialMT" w:hAnsi="ArialMT" w:cs="Arial"/>
          <w:szCs w:val="24"/>
          <w:lang w:eastAsia="en-GB"/>
        </w:rPr>
        <w:t xml:space="preserve">nitrogen </w:t>
      </w:r>
      <w:proofErr w:type="spellStart"/>
      <w:r w:rsidR="00654EF5">
        <w:rPr>
          <w:rFonts w:ascii="ArialMT" w:hAnsi="ArialMT" w:cs="Arial"/>
          <w:szCs w:val="24"/>
          <w:lang w:eastAsia="en-GB"/>
        </w:rPr>
        <w:t>trifluoride</w:t>
      </w:r>
      <w:proofErr w:type="spellEnd"/>
      <w:r w:rsidR="00654EF5">
        <w:rPr>
          <w:rFonts w:ascii="ArialMT" w:hAnsi="ArialMT" w:cs="Arial"/>
          <w:szCs w:val="24"/>
          <w:lang w:eastAsia="en-GB"/>
        </w:rPr>
        <w:t xml:space="preserve"> </w:t>
      </w:r>
      <w:r w:rsidR="00503540">
        <w:rPr>
          <w:rFonts w:ascii="ArialMT" w:hAnsi="ArialMT" w:cs="Arial"/>
          <w:szCs w:val="24"/>
          <w:lang w:eastAsia="en-GB"/>
        </w:rPr>
        <w:t xml:space="preserve">to the Kyoto Protocol gases. </w:t>
      </w:r>
      <w:r w:rsidR="00CD33C4" w:rsidRPr="00CD33C4">
        <w:rPr>
          <w:rFonts w:ascii="ArialMT" w:hAnsi="ArialMT" w:cs="Arial"/>
          <w:szCs w:val="24"/>
        </w:rPr>
        <w:t xml:space="preserve"> </w:t>
      </w:r>
    </w:p>
    <w:p w:rsidR="00897C11" w:rsidRDefault="001B2474" w:rsidP="00503540">
      <w:pPr>
        <w:autoSpaceDE w:val="0"/>
        <w:autoSpaceDN w:val="0"/>
        <w:ind w:left="720"/>
        <w:rPr>
          <w:rFonts w:ascii="ArialMT" w:hAnsi="ArialMT"/>
          <w:szCs w:val="24"/>
        </w:rPr>
      </w:pPr>
      <w:r>
        <w:rPr>
          <w:rFonts w:ascii="ArialMT" w:hAnsi="ArialMT"/>
          <w:szCs w:val="24"/>
        </w:rPr>
        <w:t>I</w:t>
      </w:r>
      <w:r w:rsidR="00897C11">
        <w:rPr>
          <w:rFonts w:ascii="ArialMT" w:hAnsi="ArialMT"/>
          <w:szCs w:val="24"/>
        </w:rPr>
        <w:t>t is recognised that the technic</w:t>
      </w:r>
      <w:r>
        <w:rPr>
          <w:rFonts w:ascii="ArialMT" w:hAnsi="ArialMT"/>
          <w:szCs w:val="24"/>
        </w:rPr>
        <w:t xml:space="preserve">al procedures to report this nitrogen </w:t>
      </w:r>
      <w:proofErr w:type="spellStart"/>
      <w:r>
        <w:rPr>
          <w:rFonts w:ascii="ArialMT" w:hAnsi="ArialMT"/>
          <w:szCs w:val="24"/>
        </w:rPr>
        <w:t>trifluoride</w:t>
      </w:r>
      <w:proofErr w:type="spellEnd"/>
      <w:r w:rsidR="00897C11">
        <w:rPr>
          <w:rFonts w:ascii="ArialMT" w:hAnsi="ArialMT"/>
          <w:szCs w:val="24"/>
        </w:rPr>
        <w:t xml:space="preserve"> are developing. The UK national inventory and hence the UK government </w:t>
      </w:r>
      <w:hyperlink r:id="rId46" w:history="1">
        <w:r w:rsidR="00897C11" w:rsidRPr="00897C11">
          <w:rPr>
            <w:rStyle w:val="Hyperlink"/>
            <w:rFonts w:ascii="ArialMT" w:hAnsi="ArialMT"/>
            <w:szCs w:val="24"/>
          </w:rPr>
          <w:t>conversion factors</w:t>
        </w:r>
      </w:hyperlink>
      <w:r w:rsidR="00897C11">
        <w:rPr>
          <w:rFonts w:ascii="ArialMT" w:hAnsi="ArialMT"/>
          <w:szCs w:val="24"/>
        </w:rPr>
        <w:t xml:space="preserve"> </w:t>
      </w:r>
      <w:r w:rsidR="00CD33C4">
        <w:rPr>
          <w:rFonts w:ascii="ArialMT" w:hAnsi="ArialMT"/>
          <w:szCs w:val="24"/>
        </w:rPr>
        <w:t xml:space="preserve">(also known as emission factors) </w:t>
      </w:r>
      <w:r w:rsidR="00897C11">
        <w:rPr>
          <w:rFonts w:ascii="ArialMT" w:hAnsi="ArialMT"/>
          <w:szCs w:val="24"/>
        </w:rPr>
        <w:t xml:space="preserve">will not include conversion factors for this gas until 2016 at the earliest. If companies with emissions of nitrogen </w:t>
      </w:r>
      <w:proofErr w:type="spellStart"/>
      <w:r w:rsidR="00897C11">
        <w:rPr>
          <w:rFonts w:ascii="ArialMT" w:hAnsi="ArialMT"/>
          <w:szCs w:val="24"/>
        </w:rPr>
        <w:t>trifluoride</w:t>
      </w:r>
      <w:proofErr w:type="spellEnd"/>
      <w:r w:rsidR="00897C11">
        <w:rPr>
          <w:rFonts w:ascii="ArialMT" w:hAnsi="ArialMT"/>
          <w:szCs w:val="24"/>
        </w:rPr>
        <w:t xml:space="preserve"> are unable to report </w:t>
      </w:r>
      <w:r w:rsidR="007A6284">
        <w:rPr>
          <w:rFonts w:ascii="ArialMT" w:hAnsi="ArialMT"/>
          <w:szCs w:val="24"/>
        </w:rPr>
        <w:t xml:space="preserve">on </w:t>
      </w:r>
      <w:r w:rsidR="00897C11">
        <w:rPr>
          <w:rFonts w:ascii="ArialMT" w:hAnsi="ArialMT"/>
          <w:szCs w:val="24"/>
        </w:rPr>
        <w:t xml:space="preserve">this gas, they should explain this within their inventory. </w:t>
      </w:r>
    </w:p>
    <w:p w:rsidR="00D91F2C" w:rsidRDefault="00503540" w:rsidP="00023DF9">
      <w:pPr>
        <w:numPr>
          <w:ilvl w:val="0"/>
          <w:numId w:val="75"/>
        </w:numPr>
        <w:rPr>
          <w:rFonts w:ascii="ArialMT" w:hAnsi="ArialMT"/>
          <w:szCs w:val="24"/>
        </w:rPr>
      </w:pPr>
      <w:r>
        <w:rPr>
          <w:rFonts w:cs="Arial"/>
        </w:rPr>
        <w:t>So</w:t>
      </w:r>
      <w:r w:rsidR="001B2474">
        <w:rPr>
          <w:rFonts w:cs="Arial"/>
        </w:rPr>
        <w:t>,</w:t>
      </w:r>
      <w:r>
        <w:rPr>
          <w:rFonts w:cs="Arial"/>
        </w:rPr>
        <w:t xml:space="preserve"> while it is best practice to include nitrogen </w:t>
      </w:r>
      <w:proofErr w:type="spellStart"/>
      <w:r>
        <w:rPr>
          <w:rFonts w:cs="Arial"/>
        </w:rPr>
        <w:t>trifluoride</w:t>
      </w:r>
      <w:proofErr w:type="spellEnd"/>
      <w:r>
        <w:rPr>
          <w:rFonts w:cs="Arial"/>
        </w:rPr>
        <w:t xml:space="preserve">, it is not required under the mandatory reporting regulations for quoted companies and it is acknowledged that it may be difficult for organisations to do immediately. </w:t>
      </w:r>
      <w:r w:rsidR="00913351" w:rsidRPr="006A6CE3">
        <w:rPr>
          <w:rFonts w:cs="Arial"/>
        </w:rPr>
        <w:t xml:space="preserve">Different activities emit different gases, for example, burning fossil fuels releases carbon dioxide, methane and nitrous oxide into the atmosphere, while producing aluminium releases carbon dioxide and </w:t>
      </w:r>
      <w:proofErr w:type="spellStart"/>
      <w:r w:rsidR="00913351" w:rsidRPr="006A6CE3">
        <w:rPr>
          <w:rFonts w:cs="Arial"/>
        </w:rPr>
        <w:t>perfluorocarbons</w:t>
      </w:r>
      <w:proofErr w:type="spellEnd"/>
      <w:r w:rsidR="00913351" w:rsidRPr="006A6CE3">
        <w:rPr>
          <w:rFonts w:cs="Arial"/>
        </w:rPr>
        <w:t xml:space="preserve">. </w:t>
      </w:r>
      <w:hyperlink w:anchor="_Annex_B:_Process" w:history="1">
        <w:r w:rsidR="00913351" w:rsidRPr="006A6CE3">
          <w:rPr>
            <w:rStyle w:val="Hyperlink"/>
            <w:rFonts w:cs="Arial"/>
          </w:rPr>
          <w:t>Annex B</w:t>
        </w:r>
      </w:hyperlink>
      <w:r w:rsidR="00913351" w:rsidRPr="006A6CE3">
        <w:rPr>
          <w:rFonts w:cs="Arial"/>
        </w:rPr>
        <w:t xml:space="preserve"> has a list of the GHGs produced by different manufacturing processes.</w:t>
      </w:r>
      <w:r w:rsidR="00897C11">
        <w:rPr>
          <w:rFonts w:cs="Arial"/>
        </w:rPr>
        <w:t xml:space="preserve"> </w:t>
      </w:r>
      <w:r w:rsidR="00897C11">
        <w:rPr>
          <w:rFonts w:ascii="ArialMT" w:hAnsi="ArialMT"/>
          <w:szCs w:val="24"/>
        </w:rPr>
        <w:t xml:space="preserve">Nitrogen </w:t>
      </w:r>
      <w:proofErr w:type="spellStart"/>
      <w:r w:rsidR="00897C11">
        <w:rPr>
          <w:rFonts w:ascii="ArialMT" w:hAnsi="ArialMT"/>
          <w:szCs w:val="24"/>
        </w:rPr>
        <w:t>trifluoride</w:t>
      </w:r>
      <w:proofErr w:type="spellEnd"/>
      <w:r w:rsidR="00897C11">
        <w:rPr>
          <w:rFonts w:ascii="ArialMT" w:hAnsi="ArialMT"/>
          <w:szCs w:val="24"/>
        </w:rPr>
        <w:t xml:space="preserve"> is used within the electronics and photovoltaic industries and in chemical lasers. More information about sources can be found </w:t>
      </w:r>
      <w:hyperlink r:id="rId47" w:history="1">
        <w:r w:rsidR="00897C11" w:rsidRPr="00897C11">
          <w:rPr>
            <w:rStyle w:val="Hyperlink"/>
            <w:rFonts w:ascii="ArialMT" w:hAnsi="ArialMT"/>
            <w:szCs w:val="24"/>
          </w:rPr>
          <w:t>here</w:t>
        </w:r>
      </w:hyperlink>
      <w:r w:rsidR="00897C11">
        <w:rPr>
          <w:rFonts w:ascii="ArialMT" w:hAnsi="ArialMT"/>
          <w:szCs w:val="24"/>
        </w:rPr>
        <w:t>.</w:t>
      </w:r>
    </w:p>
    <w:p w:rsidR="00D91F2C" w:rsidRDefault="00913351" w:rsidP="00023DF9">
      <w:pPr>
        <w:numPr>
          <w:ilvl w:val="0"/>
          <w:numId w:val="75"/>
        </w:numPr>
        <w:rPr>
          <w:rFonts w:cs="Arial"/>
        </w:rPr>
      </w:pPr>
      <w:r w:rsidRPr="006A6CE3">
        <w:rPr>
          <w:rFonts w:cs="Arial"/>
        </w:rPr>
        <w:t xml:space="preserve">GHG emissions can be reported in terms of the metric tonnes of gas emitted or in metric tonnes of carbon dioxide equivalent (CO2e). This gives the global warming effect of the mass of GHG in terms of what mass of carbon dioxide would produce the equivalent effect.  </w:t>
      </w:r>
    </w:p>
    <w:p w:rsidR="00D91F2C" w:rsidRDefault="00913351" w:rsidP="00023DF9">
      <w:pPr>
        <w:numPr>
          <w:ilvl w:val="0"/>
          <w:numId w:val="75"/>
        </w:numPr>
        <w:rPr>
          <w:rFonts w:cs="Arial"/>
        </w:rPr>
      </w:pPr>
      <w:r w:rsidRPr="006A6CE3">
        <w:rPr>
          <w:rFonts w:cs="Arial"/>
        </w:rPr>
        <w:t xml:space="preserve">There are a number of other greenhouse gases not covered by the Kyoto Protocol that enter the atmosphere because of human activities. There are relatively few organisations that emit these gases. The </w:t>
      </w:r>
      <w:hyperlink r:id="rId48" w:history="1">
        <w:r w:rsidRPr="00F956B1">
          <w:rPr>
            <w:rStyle w:val="Hyperlink"/>
            <w:rFonts w:cs="Arial"/>
          </w:rPr>
          <w:t>UK Government GHG Conversion Factors</w:t>
        </w:r>
      </w:hyperlink>
      <w:r w:rsidRPr="006A6CE3">
        <w:rPr>
          <w:rFonts w:cs="Arial"/>
        </w:rPr>
        <w:t xml:space="preserve"> does have a list if you think they might be relevant to your organisation, but they should be reported separately from the gases listed under the Kyoto Protocol.  </w:t>
      </w:r>
    </w:p>
    <w:p w:rsidR="00913351" w:rsidRPr="006A6CE3" w:rsidRDefault="00913351" w:rsidP="00E00CA8">
      <w:pPr>
        <w:pStyle w:val="Heading2"/>
      </w:pPr>
      <w:bookmarkStart w:id="121" w:name="_Toc358054565"/>
      <w:bookmarkStart w:id="122" w:name="_Toc358060205"/>
      <w:bookmarkStart w:id="123" w:name="_Toc358302270"/>
      <w:bookmarkStart w:id="124" w:name="_Toc380763562"/>
      <w:r w:rsidRPr="006A6CE3">
        <w:t>Organising your data</w:t>
      </w:r>
      <w:bookmarkEnd w:id="121"/>
      <w:bookmarkEnd w:id="122"/>
      <w:bookmarkEnd w:id="123"/>
      <w:bookmarkEnd w:id="124"/>
    </w:p>
    <w:p w:rsidR="00913351" w:rsidRPr="006A6CE3" w:rsidRDefault="00913351" w:rsidP="00E204D9">
      <w:pPr>
        <w:pStyle w:val="Heading4"/>
        <w:rPr>
          <w:rFonts w:cs="Arial"/>
          <w:i w:val="0"/>
          <w:color w:val="76923C"/>
          <w:sz w:val="28"/>
          <w:szCs w:val="28"/>
        </w:rPr>
      </w:pPr>
      <w:bookmarkStart w:id="125" w:name="_Determine_which_emissions"/>
      <w:bookmarkStart w:id="126" w:name="_PART_4:_Which"/>
      <w:bookmarkStart w:id="127" w:name="_The_Scopes"/>
      <w:bookmarkStart w:id="128" w:name="_Toc343016845"/>
      <w:bookmarkEnd w:id="125"/>
      <w:bookmarkEnd w:id="126"/>
      <w:bookmarkEnd w:id="127"/>
      <w:r w:rsidRPr="006A6CE3">
        <w:rPr>
          <w:rFonts w:cs="Arial"/>
          <w:i w:val="0"/>
          <w:color w:val="76923C"/>
          <w:sz w:val="28"/>
          <w:szCs w:val="28"/>
        </w:rPr>
        <w:t>The Scopes</w:t>
      </w:r>
      <w:bookmarkEnd w:id="128"/>
    </w:p>
    <w:p w:rsidR="00913351" w:rsidRPr="006A6CE3" w:rsidRDefault="00913351" w:rsidP="00E204D9">
      <w:pPr>
        <w:rPr>
          <w:rFonts w:cs="Arial"/>
        </w:rPr>
      </w:pPr>
      <w:r w:rsidRPr="006A6CE3">
        <w:rPr>
          <w:rFonts w:cs="Arial"/>
        </w:rPr>
        <w:t xml:space="preserve">A widely-accepted approach is to identify and categorise emissions-releasing activities into three groups known as scopes. These are defined in the </w:t>
      </w:r>
      <w:hyperlink r:id="rId49" w:history="1">
        <w:r w:rsidRPr="006A6CE3">
          <w:rPr>
            <w:rStyle w:val="Hyperlink"/>
            <w:rFonts w:cs="Arial"/>
          </w:rPr>
          <w:t xml:space="preserve">GHG </w:t>
        </w:r>
        <w:r w:rsidRPr="006A6CE3">
          <w:rPr>
            <w:rStyle w:val="Hyperlink"/>
            <w:rFonts w:cs="Arial"/>
          </w:rPr>
          <w:lastRenderedPageBreak/>
          <w:t>Protocol Corporate Standard</w:t>
        </w:r>
      </w:hyperlink>
      <w:r w:rsidRPr="006A6CE3">
        <w:rPr>
          <w:rFonts w:cs="Arial"/>
        </w:rPr>
        <w:t xml:space="preserve"> and are described below with their equivalent term from </w:t>
      </w:r>
      <w:hyperlink r:id="rId50" w:history="1">
        <w:r w:rsidRPr="006A6CE3">
          <w:rPr>
            <w:rStyle w:val="Hyperlink"/>
            <w:rFonts w:cs="Arial"/>
          </w:rPr>
          <w:t>ISO 14064-1</w:t>
        </w:r>
      </w:hyperlink>
      <w:r w:rsidRPr="006A6CE3">
        <w:rPr>
          <w:rFonts w:cs="Arial"/>
        </w:rPr>
        <w:t xml:space="preserve"> in brackets:  </w:t>
      </w:r>
    </w:p>
    <w:p w:rsidR="00913351" w:rsidRPr="006A6CE3" w:rsidRDefault="00913351" w:rsidP="00E204D9">
      <w:pPr>
        <w:rPr>
          <w:rFonts w:cs="Arial"/>
        </w:rPr>
      </w:pPr>
      <w:r w:rsidRPr="006A6CE3">
        <w:rPr>
          <w:rFonts w:cs="Arial"/>
          <w:b/>
        </w:rPr>
        <w:t>Scope 1 (Direct emissions):</w:t>
      </w:r>
      <w:r w:rsidRPr="006A6CE3">
        <w:rPr>
          <w:rFonts w:cs="Arial"/>
        </w:rPr>
        <w:t xml:space="preserve"> Emissions from activities owned or controlled by your organisation that release emissions into the atmosphere.  They are direct emissions.  Examples of </w:t>
      </w:r>
      <w:r w:rsidR="00685E60">
        <w:rPr>
          <w:rFonts w:cs="Arial"/>
        </w:rPr>
        <w:t>Scope</w:t>
      </w:r>
      <w:r w:rsidRPr="006A6CE3">
        <w:rPr>
          <w:rFonts w:cs="Arial"/>
        </w:rPr>
        <w:t xml:space="preserve"> 1 emissions include emissions from combustion in owned or controlled boilers, furnaces, vehicles; emissions from chemical production in owned or controlled process equipment.  </w:t>
      </w:r>
    </w:p>
    <w:p w:rsidR="00913351" w:rsidRPr="006A6CE3" w:rsidRDefault="00913351" w:rsidP="00E204D9">
      <w:pPr>
        <w:rPr>
          <w:rFonts w:cs="Arial"/>
        </w:rPr>
      </w:pPr>
      <w:r w:rsidRPr="006A6CE3">
        <w:rPr>
          <w:rFonts w:cs="Arial"/>
          <w:b/>
        </w:rPr>
        <w:t>Scope 2 (Energy indirect):</w:t>
      </w:r>
      <w:r w:rsidRPr="006A6CE3">
        <w:rPr>
          <w:rFonts w:cs="Arial"/>
        </w:rPr>
        <w:t xml:space="preserve"> Emissions released into the atmosphere associated with your consumption of purchased electricity, heat, </w:t>
      </w:r>
      <w:proofErr w:type="gramStart"/>
      <w:r w:rsidRPr="006A6CE3">
        <w:rPr>
          <w:rFonts w:cs="Arial"/>
        </w:rPr>
        <w:t>steam</w:t>
      </w:r>
      <w:proofErr w:type="gramEnd"/>
      <w:r w:rsidRPr="006A6CE3">
        <w:rPr>
          <w:rFonts w:cs="Arial"/>
        </w:rPr>
        <w:t xml:space="preserve"> and cooling. These are indirect emissions that are a consequence of your organisation’s activities but which occur at sources you do not own or control. </w:t>
      </w:r>
      <w:r w:rsidRPr="006A6CE3">
        <w:rPr>
          <w:rStyle w:val="FootnoteReference"/>
          <w:rFonts w:cs="Arial"/>
        </w:rPr>
        <w:footnoteReference w:id="44"/>
      </w:r>
      <w:r w:rsidRPr="006A6CE3">
        <w:rPr>
          <w:rFonts w:cs="Arial"/>
        </w:rPr>
        <w:t xml:space="preserve"> </w:t>
      </w:r>
    </w:p>
    <w:p w:rsidR="00913351" w:rsidRPr="006A6CE3" w:rsidRDefault="00913351" w:rsidP="00E204D9">
      <w:pPr>
        <w:rPr>
          <w:rFonts w:cs="Arial"/>
        </w:rPr>
      </w:pPr>
      <w:r w:rsidRPr="006A6CE3">
        <w:rPr>
          <w:rFonts w:cs="Arial"/>
          <w:b/>
        </w:rPr>
        <w:t>Scope 3 (Other indirect):</w:t>
      </w:r>
      <w:r w:rsidRPr="006A6CE3">
        <w:rPr>
          <w:rFonts w:cs="Arial"/>
        </w:rPr>
        <w:t xml:space="preserve"> Emissions that are a consequence of your actions, which occur at sources which you do not own or control and which are not classed as </w:t>
      </w:r>
      <w:r w:rsidR="00685E60">
        <w:rPr>
          <w:rFonts w:cs="Arial"/>
        </w:rPr>
        <w:t>Scope</w:t>
      </w:r>
      <w:r w:rsidRPr="006A6CE3">
        <w:rPr>
          <w:rFonts w:cs="Arial"/>
        </w:rPr>
        <w:t xml:space="preserve"> 2 emissions. Examples of </w:t>
      </w:r>
      <w:r w:rsidR="00685E60">
        <w:rPr>
          <w:rFonts w:cs="Arial"/>
        </w:rPr>
        <w:t>Scope</w:t>
      </w:r>
      <w:r w:rsidRPr="006A6CE3">
        <w:rPr>
          <w:rFonts w:cs="Arial"/>
        </w:rPr>
        <w:t xml:space="preserve"> 3 emissions are business travel by means not owned or controlled by your organisation, waste disposal which is not owned or controlled, or purchased materials or fuels.</w:t>
      </w:r>
    </w:p>
    <w:p w:rsidR="00913351" w:rsidRPr="006A6CE3" w:rsidRDefault="00913351" w:rsidP="00E204D9">
      <w:pPr>
        <w:rPr>
          <w:rFonts w:cs="Arial"/>
        </w:rPr>
      </w:pPr>
      <w:r w:rsidRPr="006A6CE3">
        <w:rPr>
          <w:rFonts w:cs="Arial"/>
        </w:rPr>
        <w:t xml:space="preserve">The graphic below shows the three scopes. You draw the blue circle according to the approach that you have decided to use to report your emissions (for example financial control, operational control or equity share). All other sources of emissions are defined with reference to that circle. </w:t>
      </w:r>
    </w:p>
    <w:p w:rsidR="00913351" w:rsidRPr="006A6CE3" w:rsidRDefault="00913351" w:rsidP="00E204D9">
      <w:pPr>
        <w:rPr>
          <w:rFonts w:cs="Arial"/>
        </w:rPr>
      </w:pPr>
      <w:r w:rsidRPr="006A6CE3">
        <w:rPr>
          <w:rFonts w:cs="Arial"/>
        </w:rPr>
        <w:t xml:space="preserve">Understanding </w:t>
      </w:r>
      <w:r w:rsidR="00685E60">
        <w:rPr>
          <w:rFonts w:cs="Arial"/>
        </w:rPr>
        <w:t>Scope</w:t>
      </w:r>
      <w:r w:rsidRPr="006A6CE3">
        <w:rPr>
          <w:rFonts w:cs="Arial"/>
        </w:rPr>
        <w:t xml:space="preserve"> 2 is fairly straightforward: these are emissions that occur when the electricity (or heat, steam and cooling) that you bought was generated</w:t>
      </w:r>
      <w:r w:rsidRPr="006A6CE3">
        <w:rPr>
          <w:rStyle w:val="FootnoteReference"/>
          <w:rFonts w:cs="Arial"/>
        </w:rPr>
        <w:footnoteReference w:id="45"/>
      </w:r>
      <w:r w:rsidRPr="006A6CE3">
        <w:rPr>
          <w:rFonts w:cs="Arial"/>
        </w:rPr>
        <w:t xml:space="preserve">. Deciding if emissions from a vehicle, office or factory that you use is Scope 1 or Scope 3 is more difficult. It depends on how you draw that blue circle. In deciding how to report the emissions, ask </w:t>
      </w:r>
      <w:proofErr w:type="gramStart"/>
      <w:r w:rsidRPr="006A6CE3">
        <w:rPr>
          <w:rFonts w:cs="Arial"/>
        </w:rPr>
        <w:t>yourself</w:t>
      </w:r>
      <w:proofErr w:type="gramEnd"/>
      <w:r w:rsidRPr="006A6CE3">
        <w:rPr>
          <w:rFonts w:cs="Arial"/>
        </w:rPr>
        <w:t>:</w:t>
      </w:r>
    </w:p>
    <w:p w:rsidR="00913351" w:rsidRPr="006A6CE3" w:rsidRDefault="00913351" w:rsidP="0086258B">
      <w:pPr>
        <w:numPr>
          <w:ilvl w:val="0"/>
          <w:numId w:val="49"/>
        </w:numPr>
        <w:spacing w:before="200" w:after="200"/>
        <w:rPr>
          <w:rFonts w:cs="Arial"/>
        </w:rPr>
      </w:pPr>
      <w:r w:rsidRPr="006A6CE3">
        <w:rPr>
          <w:rFonts w:cs="Arial"/>
        </w:rPr>
        <w:t>If I have chosen to use a control approach, do I control it? If the answer is yes, it is your Scope 1. If the answer is no, it is Scope 3.</w:t>
      </w:r>
    </w:p>
    <w:p w:rsidR="00913351" w:rsidRPr="006A6CE3" w:rsidRDefault="00913351" w:rsidP="0086258B">
      <w:pPr>
        <w:numPr>
          <w:ilvl w:val="0"/>
          <w:numId w:val="49"/>
        </w:numPr>
        <w:spacing w:before="200" w:after="200"/>
        <w:rPr>
          <w:rFonts w:cs="Arial"/>
        </w:rPr>
      </w:pPr>
      <w:r w:rsidRPr="006A6CE3">
        <w:rPr>
          <w:rFonts w:cs="Arial"/>
        </w:rPr>
        <w:lastRenderedPageBreak/>
        <w:t>If I have chosen to use the equity share approach, do I own or part-own it? If the answer is yes, it is your Scope 1. If the answer is no, it is your Scope 3.</w:t>
      </w:r>
    </w:p>
    <w:p w:rsidR="00913351" w:rsidRPr="006A6CE3" w:rsidRDefault="00913351" w:rsidP="00E204D9">
      <w:pPr>
        <w:rPr>
          <w:rFonts w:cs="Arial"/>
        </w:rPr>
      </w:pPr>
      <w:r w:rsidRPr="006A6CE3">
        <w:rPr>
          <w:rFonts w:cs="Arial"/>
        </w:rPr>
        <w:t xml:space="preserve">It becomes more complicated is in some leasing situations. In these cases, look at the </w:t>
      </w:r>
      <w:hyperlink r:id="rId51" w:history="1">
        <w:r w:rsidRPr="006A6CE3">
          <w:rPr>
            <w:rStyle w:val="Hyperlink"/>
            <w:rFonts w:cs="Arial"/>
          </w:rPr>
          <w:t>GHG Protocol’s leased assets document.</w:t>
        </w:r>
      </w:hyperlink>
    </w:p>
    <w:p w:rsidR="00913351" w:rsidRPr="006A6CE3" w:rsidRDefault="00913351" w:rsidP="00E204D9">
      <w:pPr>
        <w:rPr>
          <w:rFonts w:cs="Arial"/>
        </w:rPr>
      </w:pPr>
    </w:p>
    <w:p w:rsidR="00913351" w:rsidRPr="006A6CE3" w:rsidRDefault="00913351" w:rsidP="00E204D9">
      <w:pPr>
        <w:rPr>
          <w:rFonts w:cs="Arial"/>
        </w:rPr>
      </w:pPr>
    </w:p>
    <w:p w:rsidR="00913351" w:rsidRPr="006A6CE3" w:rsidRDefault="00913351" w:rsidP="00E204D9">
      <w:pPr>
        <w:rPr>
          <w:rFonts w:cs="Arial"/>
        </w:rPr>
      </w:pPr>
      <w:r w:rsidRPr="006A6CE3">
        <w:rPr>
          <w:rFonts w:cs="Arial"/>
        </w:rPr>
        <w:object w:dxaOrig="7198" w:dyaOrig="5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9pt;height:270.35pt" o:ole="">
            <v:imagedata r:id="rId52" o:title=""/>
          </v:shape>
          <o:OLEObject Type="Embed" ProgID="PowerPoint.Slide.12" ShapeID="_x0000_i1025" DrawAspect="Content" ObjectID="_1454693910" r:id="rId53"/>
        </w:object>
      </w:r>
    </w:p>
    <w:p w:rsidR="00913351" w:rsidRPr="006A6CE3" w:rsidRDefault="00913351" w:rsidP="00E204D9">
      <w:pPr>
        <w:rPr>
          <w:rFonts w:cs="Arial"/>
          <w:highlight w:val="yellow"/>
        </w:rPr>
      </w:pPr>
    </w:p>
    <w:p w:rsidR="00913351" w:rsidRPr="006A6CE3" w:rsidRDefault="00913351" w:rsidP="00E204D9">
      <w:pPr>
        <w:rPr>
          <w:rFonts w:cs="Arial"/>
        </w:rPr>
      </w:pPr>
      <w:r w:rsidRPr="006A6CE3">
        <w:rPr>
          <w:rFonts w:cs="Arial"/>
        </w:rPr>
        <w:t xml:space="preserve">Carbon dioxide produced from biologically-sequestered carbon, e.g. from the combustion of biomass for electricity and / or heat generation, or from other industrial processes, such as industrial fermentation, should be reported separately to emissions in </w:t>
      </w:r>
      <w:r w:rsidR="00685E60">
        <w:rPr>
          <w:rFonts w:cs="Arial"/>
        </w:rPr>
        <w:t>Scope</w:t>
      </w:r>
      <w:r w:rsidRPr="006A6CE3">
        <w:rPr>
          <w:rFonts w:cs="Arial"/>
        </w:rPr>
        <w:t>s 1, 2, and 3</w:t>
      </w:r>
      <w:r w:rsidR="00755799">
        <w:rPr>
          <w:rFonts w:cs="Arial"/>
        </w:rPr>
        <w:t xml:space="preserve"> under a category termed “biogenic emissions”</w:t>
      </w:r>
      <w:r w:rsidRPr="006A6CE3">
        <w:rPr>
          <w:rFonts w:cs="Arial"/>
        </w:rPr>
        <w:t>. This is because the carbon dioxide would have been emitted anyway when the plants - from which the biomass is derived - decayed naturally at the end of their life. However, two other GHGs – nitrous oxide and methane – are commonly emitted when biomass is combusted. These would not be emitted during natural decay and any nitrous oxide or methane emissions from biomass / biofuel consumption should therefore be included in your emissions under the three scopes. This is the approach generally taken in international accounting standards.</w:t>
      </w:r>
    </w:p>
    <w:p w:rsidR="00913351" w:rsidRPr="006A6CE3" w:rsidRDefault="00913351" w:rsidP="00E204D9">
      <w:pPr>
        <w:rPr>
          <w:rFonts w:cs="Arial"/>
        </w:rPr>
      </w:pPr>
      <w:r w:rsidRPr="006A6CE3">
        <w:rPr>
          <w:rFonts w:cs="Arial"/>
        </w:rPr>
        <w:lastRenderedPageBreak/>
        <w:t xml:space="preserve">If you have quantified GHGs not covered by the Kyoto Protocol, </w:t>
      </w:r>
      <w:proofErr w:type="gramStart"/>
      <w:r w:rsidRPr="006A6CE3">
        <w:rPr>
          <w:rFonts w:cs="Arial"/>
        </w:rPr>
        <w:t>then</w:t>
      </w:r>
      <w:proofErr w:type="gramEnd"/>
      <w:r w:rsidRPr="006A6CE3">
        <w:rPr>
          <w:rFonts w:cs="Arial"/>
        </w:rPr>
        <w:t xml:space="preserve"> report those separately from your figures for the three scopes.  </w:t>
      </w:r>
    </w:p>
    <w:p w:rsidR="00913351" w:rsidRDefault="00913351" w:rsidP="00E204D9">
      <w:pPr>
        <w:rPr>
          <w:rFonts w:cs="Arial"/>
        </w:rPr>
      </w:pPr>
      <w:r w:rsidRPr="006A6CE3">
        <w:rPr>
          <w:rFonts w:cs="Arial"/>
        </w:rPr>
        <w:t xml:space="preserve">More information on calculating emissions related to heat and steam is given in </w:t>
      </w:r>
      <w:hyperlink w:anchor="_Annex_D:_Heat" w:history="1">
        <w:r w:rsidRPr="006A6CE3">
          <w:rPr>
            <w:rStyle w:val="Hyperlink"/>
            <w:rFonts w:cs="Arial"/>
          </w:rPr>
          <w:t>Annex D</w:t>
        </w:r>
      </w:hyperlink>
      <w:r w:rsidRPr="006A6CE3">
        <w:rPr>
          <w:rFonts w:cs="Arial"/>
        </w:rPr>
        <w:t xml:space="preserve"> and</w:t>
      </w:r>
      <w:r w:rsidR="00B06EB1">
        <w:rPr>
          <w:rFonts w:cs="Arial"/>
        </w:rPr>
        <w:t>,</w:t>
      </w:r>
      <w:r w:rsidRPr="006A6CE3">
        <w:rPr>
          <w:rFonts w:cs="Arial"/>
        </w:rPr>
        <w:t xml:space="preserve"> </w:t>
      </w:r>
      <w:r w:rsidR="00B06EB1" w:rsidRPr="006A6CE3">
        <w:rPr>
          <w:rFonts w:cs="Arial"/>
        </w:rPr>
        <w:t>for electricity</w:t>
      </w:r>
      <w:r w:rsidR="00B06EB1">
        <w:rPr>
          <w:rFonts w:cs="Arial"/>
        </w:rPr>
        <w:t>,</w:t>
      </w:r>
      <w:r w:rsidR="00B06EB1" w:rsidRPr="006A6CE3">
        <w:rPr>
          <w:rFonts w:cs="Arial"/>
        </w:rPr>
        <w:t xml:space="preserve"> </w:t>
      </w:r>
      <w:r w:rsidRPr="006A6CE3">
        <w:rPr>
          <w:rFonts w:cs="Arial"/>
        </w:rPr>
        <w:t xml:space="preserve">in </w:t>
      </w:r>
      <w:r w:rsidR="00654EF5">
        <w:rPr>
          <w:rFonts w:cs="Arial"/>
        </w:rPr>
        <w:t xml:space="preserve">the </w:t>
      </w:r>
      <w:r w:rsidR="00B06EB1">
        <w:rPr>
          <w:rFonts w:cs="Arial"/>
        </w:rPr>
        <w:t>section below entitled ‘More on Scope 2’</w:t>
      </w:r>
      <w:r w:rsidRPr="006A6CE3">
        <w:rPr>
          <w:rFonts w:cs="Arial"/>
        </w:rPr>
        <w:t>.</w:t>
      </w:r>
    </w:p>
    <w:p w:rsidR="0044276F" w:rsidRPr="006A6CE3" w:rsidRDefault="0044276F" w:rsidP="00E00CA8">
      <w:pPr>
        <w:pStyle w:val="Heading2"/>
      </w:pPr>
      <w:bookmarkStart w:id="129" w:name="_Toc380763563"/>
      <w:r w:rsidRPr="006A6CE3">
        <w:t>How do I calculate my GHG emissions?</w:t>
      </w:r>
      <w:bookmarkEnd w:id="129"/>
      <w:r w:rsidRPr="006A6CE3">
        <w:t xml:space="preserve"> </w:t>
      </w:r>
    </w:p>
    <w:p w:rsidR="0044276F" w:rsidRPr="006A6CE3" w:rsidRDefault="00151A25" w:rsidP="00E204D9">
      <w:pPr>
        <w:rPr>
          <w:rFonts w:cs="Arial"/>
        </w:rPr>
      </w:pPr>
      <w:r>
        <w:rPr>
          <w:rFonts w:cs="Arial"/>
          <w:noProof/>
          <w:lang w:eastAsia="en-GB"/>
        </w:rPr>
        <mc:AlternateContent>
          <mc:Choice Requires="wps">
            <w:drawing>
              <wp:anchor distT="0" distB="0" distL="114300" distR="114300" simplePos="0" relativeHeight="251655168" behindDoc="0" locked="0" layoutInCell="1" allowOverlap="1" wp14:anchorId="38B570C6" wp14:editId="23B42B0E">
                <wp:simplePos x="0" y="0"/>
                <wp:positionH relativeFrom="column">
                  <wp:posOffset>-36195</wp:posOffset>
                </wp:positionH>
                <wp:positionV relativeFrom="paragraph">
                  <wp:posOffset>1274445</wp:posOffset>
                </wp:positionV>
                <wp:extent cx="5290820" cy="425450"/>
                <wp:effectExtent l="11430" t="7620" r="12700" b="508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0820" cy="425450"/>
                        </a:xfrm>
                        <a:prstGeom prst="rect">
                          <a:avLst/>
                        </a:prstGeom>
                        <a:solidFill>
                          <a:srgbClr val="FFFFFF"/>
                        </a:solidFill>
                        <a:ln w="9525">
                          <a:solidFill>
                            <a:srgbClr val="000000"/>
                          </a:solidFill>
                          <a:miter lim="800000"/>
                          <a:headEnd/>
                          <a:tailEnd/>
                        </a:ln>
                      </wps:spPr>
                      <wps:txbx>
                        <w:txbxContent>
                          <w:p w:rsidR="0040731C" w:rsidRPr="00B21A36" w:rsidRDefault="0040731C" w:rsidP="00913351">
                            <w:pPr>
                              <w:jc w:val="center"/>
                              <w:rPr>
                                <w:b/>
                              </w:rPr>
                            </w:pPr>
                            <w:r w:rsidRPr="00B21A36">
                              <w:rPr>
                                <w:b/>
                              </w:rPr>
                              <w:t>Activity Data x Emission Factor = GHG emissions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33" type="#_x0000_t202" style="position:absolute;margin-left:-2.85pt;margin-top:100.35pt;width:416.6pt;height: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">
                <v:textbox>
                  <w:txbxContent>
                    <w:p w:rsidR="0040731C" w:rsidRPr="00B21A36" w:rsidRDefault="0040731C" w:rsidP="00913351">
                      <w:pPr>
                        <w:jc w:val="center"/>
                        <w:rPr>
                          <w:b/>
                        </w:rPr>
                      </w:pPr>
                      <w:r w:rsidRPr="00B21A36">
                        <w:rPr>
                          <w:b/>
                        </w:rPr>
                        <w:t>Activity Data x Emission Factor = GHG emissions</w:t>
                      </w:r>
                    </w:p>
                  </w:txbxContent>
                </v:textbox>
              </v:shape>
            </w:pict>
          </mc:Fallback>
        </mc:AlternateContent>
      </w:r>
      <w:r w:rsidR="0044276F" w:rsidRPr="006A6CE3">
        <w:rPr>
          <w:rFonts w:cs="Arial"/>
        </w:rPr>
        <w:t>Some big emitters may measure their emissions using equipment that detects the GHGs or use scientific equations to estimate their emissions, but the most common approach is to record or estimate activity data e.g. the amount of electricity used or distance travelled and then multiply it by an emission (conversion) factor which gives an estimate of the GHG emissions.</w:t>
      </w:r>
    </w:p>
    <w:p w:rsidR="0044276F" w:rsidRPr="006A6CE3" w:rsidRDefault="0044276F" w:rsidP="00E204D9">
      <w:pPr>
        <w:rPr>
          <w:rFonts w:cs="Arial"/>
        </w:rPr>
      </w:pPr>
    </w:p>
    <w:p w:rsidR="0044276F" w:rsidRPr="006A6CE3" w:rsidRDefault="0044276F" w:rsidP="00E204D9">
      <w:pPr>
        <w:rPr>
          <w:rFonts w:cs="Arial"/>
        </w:rPr>
      </w:pPr>
    </w:p>
    <w:p w:rsidR="0044276F" w:rsidRPr="006A6CE3" w:rsidRDefault="0044276F" w:rsidP="00E204D9">
      <w:pPr>
        <w:rPr>
          <w:rFonts w:cs="Arial"/>
        </w:rPr>
      </w:pPr>
      <w:r w:rsidRPr="006A6CE3">
        <w:rPr>
          <w:rFonts w:cs="Arial"/>
        </w:rPr>
        <w:t xml:space="preserve">The </w:t>
      </w:r>
      <w:hyperlink r:id="rId54" w:history="1">
        <w:r w:rsidRPr="006A6CE3">
          <w:rPr>
            <w:rStyle w:val="Hyperlink"/>
            <w:rFonts w:cs="Arial"/>
          </w:rPr>
          <w:t>UK Government GHG Conversion Factors</w:t>
        </w:r>
      </w:hyperlink>
      <w:r w:rsidRPr="006A6CE3">
        <w:rPr>
          <w:rFonts w:cs="Arial"/>
        </w:rPr>
        <w:t xml:space="preserve">  are annually updated with </w:t>
      </w:r>
      <w:r>
        <w:rPr>
          <w:rFonts w:cs="Arial"/>
        </w:rPr>
        <w:t xml:space="preserve">conversion factors (also known as </w:t>
      </w:r>
      <w:r w:rsidRPr="006A6CE3">
        <w:rPr>
          <w:rFonts w:cs="Arial"/>
        </w:rPr>
        <w:t>emissions factors</w:t>
      </w:r>
      <w:r w:rsidRPr="006A6CE3">
        <w:rPr>
          <w:rStyle w:val="FootnoteReference"/>
          <w:rFonts w:cs="Arial"/>
        </w:rPr>
        <w:footnoteReference w:id="46"/>
      </w:r>
      <w:r w:rsidRPr="006A6CE3">
        <w:rPr>
          <w:rFonts w:cs="Arial"/>
        </w:rPr>
        <w:t xml:space="preserve"> and should be used to report on UK emissions.  If we have not been able to provide the appropriate emission factor for your activity data or you have overseas operations, we you should refer to the emissions factors in the </w:t>
      </w:r>
      <w:hyperlink r:id="rId55" w:history="1">
        <w:r w:rsidRPr="006A6CE3">
          <w:rPr>
            <w:rStyle w:val="Hyperlink"/>
            <w:rFonts w:cs="Arial"/>
          </w:rPr>
          <w:t>GHG Protocol calculation tools</w:t>
        </w:r>
      </w:hyperlink>
      <w:r w:rsidRPr="006A6CE3">
        <w:rPr>
          <w:rStyle w:val="FootnoteReference"/>
          <w:rFonts w:cs="Arial"/>
        </w:rPr>
        <w:footnoteReference w:id="47"/>
      </w:r>
      <w:r w:rsidRPr="006A6CE3">
        <w:rPr>
          <w:rFonts w:cs="Arial"/>
        </w:rPr>
        <w:t xml:space="preserve">.  Other sources of emission factors are:  </w:t>
      </w:r>
    </w:p>
    <w:p w:rsidR="0044276F" w:rsidRPr="006A6CE3" w:rsidRDefault="0044276F" w:rsidP="0086258B">
      <w:pPr>
        <w:numPr>
          <w:ilvl w:val="0"/>
          <w:numId w:val="50"/>
        </w:numPr>
        <w:rPr>
          <w:rFonts w:cs="Arial"/>
        </w:rPr>
      </w:pPr>
      <w:r w:rsidRPr="006A6CE3">
        <w:rPr>
          <w:rFonts w:cs="Arial"/>
        </w:rPr>
        <w:t>Other Government sources e.g. United States Environmental Protection Agency</w:t>
      </w:r>
    </w:p>
    <w:p w:rsidR="0044276F" w:rsidRPr="006A6CE3" w:rsidRDefault="0044276F" w:rsidP="0086258B">
      <w:pPr>
        <w:numPr>
          <w:ilvl w:val="0"/>
          <w:numId w:val="50"/>
        </w:numPr>
        <w:rPr>
          <w:rFonts w:cs="Arial"/>
        </w:rPr>
      </w:pPr>
      <w:r w:rsidRPr="006A6CE3">
        <w:rPr>
          <w:rFonts w:cs="Arial"/>
        </w:rPr>
        <w:t xml:space="preserve">Other credible sources such as universities and research institutions, the EU, International Energy Agency, </w:t>
      </w:r>
      <w:hyperlink r:id="rId56" w:history="1">
        <w:r w:rsidRPr="006A6CE3">
          <w:rPr>
            <w:rStyle w:val="Hyperlink"/>
            <w:rFonts w:cs="Arial"/>
          </w:rPr>
          <w:t>International Panel on Climate Change</w:t>
        </w:r>
      </w:hyperlink>
      <w:r w:rsidRPr="006A6CE3">
        <w:rPr>
          <w:rFonts w:cs="Arial"/>
        </w:rPr>
        <w:t>.</w:t>
      </w:r>
    </w:p>
    <w:p w:rsidR="0044276F" w:rsidRPr="006A6CE3" w:rsidRDefault="0044276F" w:rsidP="00E204D9">
      <w:pPr>
        <w:rPr>
          <w:rFonts w:cs="Arial"/>
        </w:rPr>
      </w:pPr>
      <w:proofErr w:type="gramStart"/>
      <w:r w:rsidRPr="006A6CE3">
        <w:rPr>
          <w:rFonts w:cs="Arial"/>
        </w:rPr>
        <w:t>Where your organisation reports GHG emissions data for regulatory schemes (e.g. EU ETS, CCAs, CRC Energy Efficiency, and regulatory schemes in other administrations or overseas), you can use this emissions data for the purposes of reporting your organisation’s total emissions.</w:t>
      </w:r>
      <w:proofErr w:type="gramEnd"/>
      <w:r w:rsidRPr="006A6CE3">
        <w:rPr>
          <w:rFonts w:cs="Arial"/>
        </w:rPr>
        <w:t xml:space="preserve">   As there are some differences in approach between regulatory schemes and this reporting </w:t>
      </w:r>
      <w:r w:rsidRPr="006A6CE3">
        <w:rPr>
          <w:rFonts w:cs="Arial"/>
        </w:rPr>
        <w:lastRenderedPageBreak/>
        <w:t xml:space="preserve">guidance, you should provide information on the calculation approach and conversion factors used for those emissions reported for other regulatory purposes.  </w:t>
      </w:r>
    </w:p>
    <w:p w:rsidR="0044276F" w:rsidRPr="006A6CE3" w:rsidRDefault="0044276F" w:rsidP="00E204D9">
      <w:pPr>
        <w:rPr>
          <w:rFonts w:cs="Arial"/>
        </w:rPr>
      </w:pPr>
      <w:r w:rsidRPr="006A6CE3">
        <w:rPr>
          <w:rFonts w:cs="Arial"/>
        </w:rPr>
        <w:t xml:space="preserve">Where your data reported for existing regulatory schemes does not cover all the emissions sources or greenhouse gases that your organisation is responsible for, you should use the approach in this guidance to measure or calculate those remaining emissions. </w:t>
      </w:r>
    </w:p>
    <w:p w:rsidR="0044276F" w:rsidRPr="006A6CE3" w:rsidRDefault="0044276F" w:rsidP="00E204D9">
      <w:pPr>
        <w:rPr>
          <w:rFonts w:cs="Arial"/>
        </w:rPr>
      </w:pPr>
      <w:r w:rsidRPr="00525F34">
        <w:rPr>
          <w:rFonts w:cs="Arial"/>
        </w:rPr>
        <w:t>Different GHGs have different Global Warming Potentials (GWPs). These have changed over time as scientific understanding of climate change has developed. Emission factors that represent emissions of more than one GHG already have these built in. However, you should check which set of GWPs the emission factors use: it should match the GWPs used in the current version of the UK Government Conversion Factors.</w:t>
      </w:r>
    </w:p>
    <w:p w:rsidR="00B90691" w:rsidRPr="00BE3068" w:rsidRDefault="00B90691" w:rsidP="003F5A5E">
      <w:pPr>
        <w:pStyle w:val="Heading2"/>
      </w:pPr>
      <w:bookmarkStart w:id="130" w:name="_Emission_reduction_actions"/>
      <w:bookmarkStart w:id="131" w:name="_Toc380763564"/>
      <w:bookmarkEnd w:id="130"/>
      <w:r w:rsidRPr="00BE3068">
        <w:t>Emission reduction actions and gross and net emissions</w:t>
      </w:r>
      <w:bookmarkEnd w:id="131"/>
    </w:p>
    <w:p w:rsidR="00FC7BEA" w:rsidRPr="00E17374" w:rsidRDefault="00FC7BEA" w:rsidP="00E17374">
      <w:pPr>
        <w:pStyle w:val="Heading3"/>
        <w:rPr>
          <w:color w:val="76923C" w:themeColor="accent3" w:themeShade="BF"/>
          <w:lang w:eastAsia="en-GB"/>
        </w:rPr>
      </w:pPr>
      <w:r w:rsidRPr="00E17374">
        <w:rPr>
          <w:color w:val="76923C" w:themeColor="accent3" w:themeShade="BF"/>
          <w:lang w:eastAsia="en-GB"/>
        </w:rPr>
        <w:t>Gross emission figures</w:t>
      </w:r>
    </w:p>
    <w:p w:rsidR="003F5A5E" w:rsidRDefault="003F5A5E" w:rsidP="00E204D9">
      <w:pPr>
        <w:autoSpaceDE w:val="0"/>
        <w:autoSpaceDN w:val="0"/>
        <w:adjustRightInd w:val="0"/>
        <w:spacing w:before="0" w:after="0" w:line="240" w:lineRule="auto"/>
        <w:rPr>
          <w:rFonts w:cs="Arial"/>
          <w:szCs w:val="24"/>
          <w:lang w:eastAsia="en-GB"/>
        </w:rPr>
      </w:pPr>
    </w:p>
    <w:p w:rsidR="00B90691" w:rsidRPr="006A6CE3" w:rsidRDefault="00B90691" w:rsidP="00E204D9">
      <w:pPr>
        <w:autoSpaceDE w:val="0"/>
        <w:autoSpaceDN w:val="0"/>
        <w:adjustRightInd w:val="0"/>
        <w:spacing w:before="0" w:after="0" w:line="240" w:lineRule="auto"/>
        <w:rPr>
          <w:rFonts w:cs="Arial"/>
          <w:szCs w:val="24"/>
          <w:lang w:eastAsia="en-GB"/>
        </w:rPr>
      </w:pPr>
      <w:r w:rsidRPr="00525F34">
        <w:rPr>
          <w:rFonts w:cs="Arial"/>
          <w:szCs w:val="24"/>
          <w:lang w:eastAsia="en-GB"/>
        </w:rPr>
        <w:t xml:space="preserve">You should report GHG emissions as a </w:t>
      </w:r>
      <w:r w:rsidRPr="00525F34">
        <w:rPr>
          <w:rFonts w:cs="Arial"/>
          <w:b/>
          <w:bCs/>
          <w:szCs w:val="24"/>
          <w:lang w:eastAsia="en-GB"/>
        </w:rPr>
        <w:t xml:space="preserve">gross </w:t>
      </w:r>
      <w:r w:rsidRPr="00525F34">
        <w:rPr>
          <w:rFonts w:cs="Arial"/>
          <w:szCs w:val="24"/>
          <w:lang w:eastAsia="en-GB"/>
        </w:rPr>
        <w:t>figure in tonnes of CO</w:t>
      </w:r>
      <w:r w:rsidRPr="002B1436">
        <w:rPr>
          <w:rFonts w:cs="Arial"/>
          <w:szCs w:val="24"/>
          <w:vertAlign w:val="subscript"/>
          <w:lang w:eastAsia="en-GB"/>
        </w:rPr>
        <w:t>2</w:t>
      </w:r>
      <w:r w:rsidRPr="00525F34">
        <w:rPr>
          <w:rFonts w:cs="Arial"/>
          <w:szCs w:val="24"/>
          <w:lang w:eastAsia="en-GB"/>
        </w:rPr>
        <w:t>e. Th</w:t>
      </w:r>
      <w:r w:rsidR="00E95283">
        <w:rPr>
          <w:rFonts w:cs="Arial"/>
          <w:szCs w:val="24"/>
          <w:lang w:eastAsia="en-GB"/>
        </w:rPr>
        <w:t>i</w:t>
      </w:r>
      <w:r w:rsidR="004B05B3">
        <w:rPr>
          <w:rFonts w:cs="Arial"/>
          <w:szCs w:val="24"/>
          <w:lang w:eastAsia="en-GB"/>
        </w:rPr>
        <w:t>s</w:t>
      </w:r>
      <w:r w:rsidRPr="00525F34">
        <w:rPr>
          <w:rFonts w:cs="Arial"/>
          <w:szCs w:val="24"/>
          <w:lang w:eastAsia="en-GB"/>
        </w:rPr>
        <w:t xml:space="preserve"> should be your reported headline figure</w:t>
      </w:r>
      <w:r w:rsidR="004B05B3">
        <w:rPr>
          <w:rFonts w:cs="Arial"/>
          <w:szCs w:val="24"/>
          <w:lang w:eastAsia="en-GB"/>
        </w:rPr>
        <w:t>s</w:t>
      </w:r>
      <w:r w:rsidRPr="00525F34">
        <w:rPr>
          <w:rFonts w:cs="Arial"/>
          <w:szCs w:val="24"/>
          <w:lang w:eastAsia="en-GB"/>
        </w:rPr>
        <w:t>.</w:t>
      </w:r>
    </w:p>
    <w:p w:rsidR="007F4FDA" w:rsidRDefault="00B90691" w:rsidP="002B1436">
      <w:r w:rsidRPr="006A6CE3">
        <w:t xml:space="preserve">There are a number of measures that can be taken to reduce your organisation’s </w:t>
      </w:r>
      <w:r w:rsidR="009A57EA">
        <w:t>gross figures</w:t>
      </w:r>
      <w:r w:rsidRPr="006A6CE3">
        <w:t xml:space="preserve"> such </w:t>
      </w:r>
      <w:r w:rsidR="009A57EA">
        <w:t>as</w:t>
      </w:r>
      <w:r w:rsidR="003935ED">
        <w:t>:</w:t>
      </w:r>
      <w:r w:rsidR="009A57EA">
        <w:t xml:space="preserve"> </w:t>
      </w:r>
      <w:r w:rsidRPr="006A6CE3">
        <w:t>installing boilers that use less gas</w:t>
      </w:r>
      <w:r w:rsidR="009A57EA">
        <w:t xml:space="preserve"> to reduce Scope 1 figures</w:t>
      </w:r>
      <w:r w:rsidR="003935ED">
        <w:t>;</w:t>
      </w:r>
      <w:r w:rsidRPr="006A6CE3">
        <w:t xml:space="preserve"> reducing electricity use </w:t>
      </w:r>
      <w:r w:rsidR="00485BA9">
        <w:t xml:space="preserve">or generating your own renewable electricity </w:t>
      </w:r>
      <w:r w:rsidRPr="006A6CE3">
        <w:t xml:space="preserve">to decrease </w:t>
      </w:r>
      <w:r w:rsidR="00A54A9D">
        <w:t>S</w:t>
      </w:r>
      <w:r w:rsidRPr="006A6CE3">
        <w:t>cope 2 emissions</w:t>
      </w:r>
      <w:r w:rsidR="003935ED">
        <w:t>;</w:t>
      </w:r>
      <w:r w:rsidRPr="006A6CE3">
        <w:t xml:space="preserve"> or producing more energy-efficient products, which would decrease </w:t>
      </w:r>
      <w:r w:rsidR="00A54A9D">
        <w:t>S</w:t>
      </w:r>
      <w:r w:rsidRPr="006A6CE3">
        <w:t>cope 3 emissions.</w:t>
      </w:r>
      <w:r w:rsidR="00373513">
        <w:t xml:space="preserve">  </w:t>
      </w:r>
    </w:p>
    <w:p w:rsidR="00FC7BEA" w:rsidRPr="00E17374" w:rsidRDefault="00FC7BEA" w:rsidP="00E17374">
      <w:pPr>
        <w:pStyle w:val="Heading3"/>
        <w:rPr>
          <w:color w:val="76923C" w:themeColor="accent3" w:themeShade="BF"/>
        </w:rPr>
      </w:pPr>
      <w:r w:rsidRPr="00E17374">
        <w:rPr>
          <w:color w:val="76923C" w:themeColor="accent3" w:themeShade="BF"/>
        </w:rPr>
        <w:t>Net emission figures</w:t>
      </w:r>
    </w:p>
    <w:p w:rsidR="00DB2694" w:rsidRDefault="00373513" w:rsidP="002B1436">
      <w:r w:rsidRPr="003F5A5E">
        <w:t>T</w:t>
      </w:r>
      <w:r w:rsidR="00B90691" w:rsidRPr="003F5A5E">
        <w:t xml:space="preserve">here are also </w:t>
      </w:r>
      <w:r w:rsidR="00654EF5" w:rsidRPr="003F5A5E">
        <w:t xml:space="preserve">steps </w:t>
      </w:r>
      <w:r w:rsidR="00B90691" w:rsidRPr="003F5A5E">
        <w:t xml:space="preserve">that an organisation can take that </w:t>
      </w:r>
      <w:r w:rsidR="00654EF5" w:rsidRPr="003F5A5E">
        <w:t>sh</w:t>
      </w:r>
      <w:r w:rsidR="00B90691" w:rsidRPr="003F5A5E">
        <w:t>ould not be reflected in gross figures for these three scopes</w:t>
      </w:r>
      <w:r w:rsidR="00A54A9D">
        <w:t xml:space="preserve">, </w:t>
      </w:r>
      <w:r w:rsidR="00A54A9D" w:rsidRPr="002B1436">
        <w:rPr>
          <w:highlight w:val="yellow"/>
        </w:rPr>
        <w:t xml:space="preserve">but </w:t>
      </w:r>
      <w:r w:rsidR="00D41F0A" w:rsidRPr="002B1436">
        <w:rPr>
          <w:highlight w:val="yellow"/>
        </w:rPr>
        <w:t xml:space="preserve">associated </w:t>
      </w:r>
      <w:r w:rsidR="00A54A9D" w:rsidRPr="002B1436">
        <w:rPr>
          <w:highlight w:val="yellow"/>
        </w:rPr>
        <w:t xml:space="preserve">reductions </w:t>
      </w:r>
      <w:r w:rsidR="009D4DE1" w:rsidRPr="002B1436">
        <w:rPr>
          <w:highlight w:val="yellow"/>
        </w:rPr>
        <w:t xml:space="preserve">may be accounted for </w:t>
      </w:r>
      <w:r w:rsidR="00D41F0A" w:rsidRPr="002B1436">
        <w:rPr>
          <w:highlight w:val="yellow"/>
        </w:rPr>
        <w:t>in</w:t>
      </w:r>
      <w:r w:rsidR="00A54A9D" w:rsidRPr="002B1436">
        <w:rPr>
          <w:highlight w:val="yellow"/>
        </w:rPr>
        <w:t xml:space="preserve"> a</w:t>
      </w:r>
      <w:r w:rsidR="009D4DE1" w:rsidRPr="002B1436">
        <w:rPr>
          <w:highlight w:val="yellow"/>
        </w:rPr>
        <w:t>n optional</w:t>
      </w:r>
      <w:r w:rsidR="00A54A9D" w:rsidRPr="002B1436">
        <w:rPr>
          <w:highlight w:val="yellow"/>
        </w:rPr>
        <w:t xml:space="preserve"> </w:t>
      </w:r>
      <w:r w:rsidR="00A54A9D" w:rsidRPr="002B1436">
        <w:rPr>
          <w:b/>
          <w:highlight w:val="yellow"/>
        </w:rPr>
        <w:t>net</w:t>
      </w:r>
      <w:r w:rsidR="00A54A9D" w:rsidRPr="002B1436">
        <w:rPr>
          <w:highlight w:val="yellow"/>
        </w:rPr>
        <w:t xml:space="preserve"> figure</w:t>
      </w:r>
      <w:r w:rsidR="00485BA9" w:rsidRPr="002B1436">
        <w:rPr>
          <w:highlight w:val="yellow"/>
        </w:rPr>
        <w:t>. These include</w:t>
      </w:r>
      <w:r w:rsidR="00DB2694" w:rsidRPr="002B1436">
        <w:rPr>
          <w:highlight w:val="yellow"/>
        </w:rPr>
        <w:t>:</w:t>
      </w:r>
    </w:p>
    <w:p w:rsidR="00B90691" w:rsidRPr="00E95283" w:rsidRDefault="00DB2694" w:rsidP="002B1436">
      <w:pPr>
        <w:pStyle w:val="ListParagraph"/>
        <w:numPr>
          <w:ilvl w:val="0"/>
          <w:numId w:val="79"/>
        </w:numPr>
        <w:rPr>
          <w:szCs w:val="24"/>
          <w:lang w:eastAsia="en-GB"/>
        </w:rPr>
      </w:pPr>
      <w:r w:rsidRPr="002B1436">
        <w:rPr>
          <w:b/>
        </w:rPr>
        <w:t>B</w:t>
      </w:r>
      <w:r w:rsidR="00B90691" w:rsidRPr="002B1436">
        <w:rPr>
          <w:b/>
        </w:rPr>
        <w:t>uying and retiring offsets</w:t>
      </w:r>
      <w:r w:rsidR="006E2718" w:rsidRPr="002B1436">
        <w:rPr>
          <w:b/>
        </w:rPr>
        <w:t xml:space="preserve"> </w:t>
      </w:r>
      <w:r w:rsidR="00B90691" w:rsidRPr="002B1436">
        <w:rPr>
          <w:b/>
        </w:rPr>
        <w:t>and Woodland Carbon Units</w:t>
      </w:r>
      <w:r w:rsidR="006E2718" w:rsidRPr="003F5A5E">
        <w:t>.</w:t>
      </w:r>
      <w:r w:rsidR="003F5A5E">
        <w:t xml:space="preserve"> </w:t>
      </w:r>
      <w:r w:rsidR="006E2718" w:rsidRPr="003F5A5E">
        <w:t xml:space="preserve">See </w:t>
      </w:r>
      <w:hyperlink w:anchor="_Annex_G:_Emission" w:history="1">
        <w:r w:rsidR="006E2718" w:rsidRPr="00084426">
          <w:rPr>
            <w:rStyle w:val="Hyperlink"/>
            <w:rFonts w:cs="Arial"/>
          </w:rPr>
          <w:t>Annex G</w:t>
        </w:r>
      </w:hyperlink>
      <w:r w:rsidR="006E2718" w:rsidRPr="003F5A5E">
        <w:t xml:space="preserve"> for </w:t>
      </w:r>
      <w:r w:rsidR="009D4DE1">
        <w:t>the</w:t>
      </w:r>
      <w:r w:rsidR="006E2718" w:rsidRPr="003F5A5E">
        <w:t xml:space="preserve"> “good quality” criteria for offsets. </w:t>
      </w:r>
      <w:r w:rsidR="006E2718" w:rsidRPr="00084426">
        <w:rPr>
          <w:szCs w:val="24"/>
          <w:lang w:eastAsia="en-GB"/>
        </w:rPr>
        <w:t xml:space="preserve">We recommend that </w:t>
      </w:r>
      <w:r w:rsidR="006E2718" w:rsidRPr="00084426">
        <w:rPr>
          <w:szCs w:val="24"/>
          <w:lang w:eastAsia="en-GB"/>
        </w:rPr>
        <w:lastRenderedPageBreak/>
        <w:t xml:space="preserve">you </w:t>
      </w:r>
      <w:r w:rsidR="006E2718" w:rsidRPr="00E95283">
        <w:rPr>
          <w:szCs w:val="24"/>
          <w:lang w:eastAsia="en-GB"/>
        </w:rPr>
        <w:t xml:space="preserve">report on all transactions </w:t>
      </w:r>
      <w:r w:rsidR="007E435B" w:rsidRPr="00E95283">
        <w:rPr>
          <w:szCs w:val="24"/>
          <w:lang w:eastAsia="en-GB"/>
        </w:rPr>
        <w:t xml:space="preserve">where they meet the criteria </w:t>
      </w:r>
      <w:r w:rsidR="006E2718" w:rsidRPr="00E95283">
        <w:rPr>
          <w:szCs w:val="24"/>
          <w:lang w:eastAsia="en-GB"/>
        </w:rPr>
        <w:t>whether they are for the purposes of compliance</w:t>
      </w:r>
      <w:r w:rsidR="004B05B3" w:rsidRPr="00E95283">
        <w:rPr>
          <w:rStyle w:val="FootnoteReference"/>
          <w:rFonts w:cs="Arial"/>
          <w:szCs w:val="24"/>
          <w:lang w:eastAsia="en-GB"/>
        </w:rPr>
        <w:footnoteReference w:id="48"/>
      </w:r>
      <w:r w:rsidR="004B05B3" w:rsidRPr="00E95283">
        <w:rPr>
          <w:szCs w:val="24"/>
          <w:lang w:eastAsia="en-GB"/>
        </w:rPr>
        <w:t xml:space="preserve"> </w:t>
      </w:r>
      <w:r w:rsidR="006E2718" w:rsidRPr="00E95283">
        <w:rPr>
          <w:szCs w:val="24"/>
          <w:lang w:eastAsia="en-GB"/>
        </w:rPr>
        <w:t>or offsetting</w:t>
      </w:r>
      <w:r w:rsidR="00AC360C" w:rsidRPr="00E95283">
        <w:rPr>
          <w:rStyle w:val="FootnoteReference"/>
          <w:rFonts w:cs="Arial"/>
          <w:szCs w:val="24"/>
          <w:lang w:eastAsia="en-GB"/>
        </w:rPr>
        <w:footnoteReference w:id="49"/>
      </w:r>
      <w:r w:rsidR="006E2718" w:rsidRPr="00E95283">
        <w:rPr>
          <w:szCs w:val="24"/>
          <w:lang w:eastAsia="en-GB"/>
        </w:rPr>
        <w:t xml:space="preserve">. </w:t>
      </w:r>
      <w:r w:rsidR="00B90691" w:rsidRPr="00E95283">
        <w:t xml:space="preserve"> </w:t>
      </w:r>
    </w:p>
    <w:p w:rsidR="00E64FAC" w:rsidRPr="002B1436" w:rsidRDefault="00E64FAC" w:rsidP="0086258B">
      <w:pPr>
        <w:numPr>
          <w:ilvl w:val="0"/>
          <w:numId w:val="51"/>
        </w:numPr>
        <w:rPr>
          <w:rFonts w:cs="Arial"/>
          <w:szCs w:val="24"/>
          <w:highlight w:val="yellow"/>
          <w:lang w:eastAsia="en-GB"/>
        </w:rPr>
      </w:pPr>
      <w:r w:rsidRPr="002B1436">
        <w:rPr>
          <w:rFonts w:cs="Arial"/>
          <w:b/>
          <w:szCs w:val="24"/>
          <w:lang w:eastAsia="en-GB"/>
        </w:rPr>
        <w:t>Estimates of avoided emissions.</w:t>
      </w:r>
      <w:r w:rsidRPr="00E95283">
        <w:rPr>
          <w:rFonts w:cs="Arial"/>
          <w:szCs w:val="24"/>
          <w:lang w:eastAsia="en-GB"/>
        </w:rPr>
        <w:t xml:space="preserve"> These are actions that are expected to le</w:t>
      </w:r>
      <w:r w:rsidR="00382064" w:rsidRPr="00E95283">
        <w:rPr>
          <w:rFonts w:cs="Arial"/>
          <w:szCs w:val="24"/>
          <w:lang w:eastAsia="en-GB"/>
        </w:rPr>
        <w:t>a</w:t>
      </w:r>
      <w:r w:rsidRPr="00E95283">
        <w:rPr>
          <w:rFonts w:cs="Arial"/>
          <w:szCs w:val="24"/>
          <w:lang w:eastAsia="en-GB"/>
        </w:rPr>
        <w:t>d to a reduction of emissions by a third party. Strictly speaking these act</w:t>
      </w:r>
      <w:r w:rsidR="00654EF5" w:rsidRPr="00E95283">
        <w:rPr>
          <w:rFonts w:cs="Arial"/>
          <w:szCs w:val="24"/>
          <w:lang w:eastAsia="en-GB"/>
        </w:rPr>
        <w:t>ions are goods and services, although</w:t>
      </w:r>
      <w:r w:rsidRPr="00E95283">
        <w:rPr>
          <w:rFonts w:cs="Arial"/>
          <w:szCs w:val="24"/>
          <w:lang w:eastAsia="en-GB"/>
        </w:rPr>
        <w:t xml:space="preserve"> some organisations</w:t>
      </w:r>
      <w:r w:rsidRPr="003F5A5E">
        <w:rPr>
          <w:rFonts w:cs="Arial"/>
          <w:szCs w:val="24"/>
          <w:lang w:eastAsia="en-GB"/>
        </w:rPr>
        <w:t xml:space="preserve"> may not see the</w:t>
      </w:r>
      <w:r w:rsidR="006E2718" w:rsidRPr="003F5A5E">
        <w:rPr>
          <w:rFonts w:cs="Arial"/>
          <w:szCs w:val="24"/>
          <w:lang w:eastAsia="en-GB"/>
        </w:rPr>
        <w:t xml:space="preserve">m </w:t>
      </w:r>
      <w:r w:rsidRPr="003F5A5E">
        <w:rPr>
          <w:rFonts w:cs="Arial"/>
          <w:szCs w:val="24"/>
          <w:lang w:eastAsia="en-GB"/>
        </w:rPr>
        <w:t xml:space="preserve">as </w:t>
      </w:r>
      <w:r w:rsidR="00654EF5" w:rsidRPr="003F5A5E">
        <w:rPr>
          <w:rFonts w:cs="Arial"/>
          <w:szCs w:val="24"/>
          <w:lang w:eastAsia="en-GB"/>
        </w:rPr>
        <w:t xml:space="preserve">such </w:t>
      </w:r>
      <w:r w:rsidRPr="003F5A5E">
        <w:rPr>
          <w:rFonts w:cs="Arial"/>
          <w:szCs w:val="24"/>
          <w:lang w:eastAsia="en-GB"/>
        </w:rPr>
        <w:t xml:space="preserve">because they are a side-line activity. An example would be where an organisation installs a renewable electricity generator </w:t>
      </w:r>
      <w:r w:rsidR="00382064" w:rsidRPr="003F5A5E">
        <w:rPr>
          <w:rFonts w:cs="Arial"/>
          <w:szCs w:val="24"/>
          <w:lang w:eastAsia="en-GB"/>
        </w:rPr>
        <w:t>to reduce its p</w:t>
      </w:r>
      <w:r w:rsidR="00654EF5" w:rsidRPr="003F5A5E">
        <w:rPr>
          <w:rFonts w:cs="Arial"/>
          <w:szCs w:val="24"/>
          <w:lang w:eastAsia="en-GB"/>
        </w:rPr>
        <w:t>urchased electricity. I</w:t>
      </w:r>
      <w:r w:rsidR="00382064" w:rsidRPr="003F5A5E">
        <w:rPr>
          <w:rFonts w:cs="Arial"/>
          <w:szCs w:val="24"/>
          <w:lang w:eastAsia="en-GB"/>
        </w:rPr>
        <w:t xml:space="preserve">n times of surplus, it </w:t>
      </w:r>
      <w:r w:rsidRPr="003F5A5E">
        <w:rPr>
          <w:rFonts w:cs="Arial"/>
          <w:szCs w:val="24"/>
          <w:lang w:eastAsia="en-GB"/>
        </w:rPr>
        <w:t xml:space="preserve">sells </w:t>
      </w:r>
      <w:r w:rsidR="00382064" w:rsidRPr="003F5A5E">
        <w:rPr>
          <w:rFonts w:cs="Arial"/>
          <w:szCs w:val="24"/>
          <w:lang w:eastAsia="en-GB"/>
        </w:rPr>
        <w:t>electricity to the grid</w:t>
      </w:r>
      <w:r w:rsidR="006E2718" w:rsidRPr="003F5A5E">
        <w:rPr>
          <w:rFonts w:cs="Arial"/>
          <w:szCs w:val="24"/>
          <w:lang w:eastAsia="en-GB"/>
        </w:rPr>
        <w:t xml:space="preserve">, which is providing the product of </w:t>
      </w:r>
      <w:r w:rsidR="00373513" w:rsidRPr="003F5A5E">
        <w:rPr>
          <w:rFonts w:cs="Arial"/>
          <w:szCs w:val="24"/>
          <w:lang w:eastAsia="en-GB"/>
        </w:rPr>
        <w:t>electricity</w:t>
      </w:r>
      <w:r w:rsidR="00382064" w:rsidRPr="003F5A5E">
        <w:rPr>
          <w:rFonts w:cs="Arial"/>
          <w:szCs w:val="24"/>
          <w:lang w:eastAsia="en-GB"/>
        </w:rPr>
        <w:t xml:space="preserve">. </w:t>
      </w:r>
      <w:r w:rsidR="00382064" w:rsidRPr="002B1436">
        <w:rPr>
          <w:rFonts w:cs="Arial"/>
          <w:szCs w:val="24"/>
          <w:highlight w:val="yellow"/>
          <w:lang w:eastAsia="en-GB"/>
        </w:rPr>
        <w:t xml:space="preserve">This guidance allows the </w:t>
      </w:r>
      <w:r w:rsidR="00654EF5" w:rsidRPr="002B1436">
        <w:rPr>
          <w:rFonts w:cs="Arial"/>
          <w:szCs w:val="24"/>
          <w:highlight w:val="yellow"/>
          <w:lang w:eastAsia="en-GB"/>
        </w:rPr>
        <w:t>organisation</w:t>
      </w:r>
      <w:r w:rsidR="00382064" w:rsidRPr="002B1436">
        <w:rPr>
          <w:rFonts w:cs="Arial"/>
          <w:szCs w:val="24"/>
          <w:highlight w:val="yellow"/>
          <w:lang w:eastAsia="en-GB"/>
        </w:rPr>
        <w:t xml:space="preserve"> to </w:t>
      </w:r>
      <w:r w:rsidR="006E2718" w:rsidRPr="002B1436">
        <w:rPr>
          <w:rFonts w:cs="Arial"/>
          <w:szCs w:val="24"/>
          <w:highlight w:val="yellow"/>
          <w:lang w:eastAsia="en-GB"/>
        </w:rPr>
        <w:t xml:space="preserve">estimate the benefit of </w:t>
      </w:r>
      <w:r w:rsidR="00382064" w:rsidRPr="002B1436">
        <w:rPr>
          <w:rFonts w:cs="Arial"/>
          <w:szCs w:val="24"/>
          <w:highlight w:val="yellow"/>
          <w:lang w:eastAsia="en-GB"/>
        </w:rPr>
        <w:t>this on the assumption that this exported renewable electricity has avoided the need for other more carbon-intense electricity generation. T</w:t>
      </w:r>
      <w:r w:rsidR="007E435B" w:rsidRPr="002B1436">
        <w:rPr>
          <w:rFonts w:cs="Arial"/>
          <w:szCs w:val="24"/>
          <w:highlight w:val="yellow"/>
          <w:lang w:eastAsia="en-GB"/>
        </w:rPr>
        <w:t xml:space="preserve">his document includes a </w:t>
      </w:r>
      <w:r w:rsidR="00382064" w:rsidRPr="002B1436">
        <w:rPr>
          <w:rFonts w:cs="Arial"/>
          <w:szCs w:val="24"/>
          <w:highlight w:val="yellow"/>
          <w:lang w:eastAsia="en-GB"/>
        </w:rPr>
        <w:t xml:space="preserve">methodology for estimating avoided emissions </w:t>
      </w:r>
      <w:r w:rsidR="007E435B" w:rsidRPr="002B1436">
        <w:rPr>
          <w:rFonts w:cs="Arial"/>
          <w:szCs w:val="24"/>
          <w:highlight w:val="yellow"/>
          <w:lang w:eastAsia="en-GB"/>
        </w:rPr>
        <w:t xml:space="preserve">from the export of renewable electricity </w:t>
      </w:r>
      <w:r w:rsidR="00382064" w:rsidRPr="002B1436">
        <w:rPr>
          <w:rFonts w:cs="Arial"/>
          <w:szCs w:val="24"/>
          <w:highlight w:val="yellow"/>
          <w:lang w:eastAsia="en-GB"/>
        </w:rPr>
        <w:t xml:space="preserve">based on the 2009 version of this guidance. Estimates of the avoided emissions from other actions </w:t>
      </w:r>
      <w:r w:rsidR="00382064" w:rsidRPr="002B1436">
        <w:rPr>
          <w:highlight w:val="yellow"/>
        </w:rPr>
        <w:t xml:space="preserve">should be made using a </w:t>
      </w:r>
      <w:r w:rsidR="006E2718" w:rsidRPr="002B1436">
        <w:rPr>
          <w:highlight w:val="yellow"/>
        </w:rPr>
        <w:t xml:space="preserve">project-based </w:t>
      </w:r>
      <w:r w:rsidR="00382064" w:rsidRPr="002B1436">
        <w:rPr>
          <w:highlight w:val="yellow"/>
        </w:rPr>
        <w:t>methodology that has been approved by independent experts</w:t>
      </w:r>
      <w:r w:rsidR="00654EF5" w:rsidRPr="002B1436">
        <w:rPr>
          <w:highlight w:val="yellow"/>
        </w:rPr>
        <w:t>.</w:t>
      </w:r>
    </w:p>
    <w:p w:rsidR="003935ED" w:rsidRPr="002B1436" w:rsidRDefault="00012E75" w:rsidP="002B1436">
      <w:pPr>
        <w:ind w:left="360"/>
        <w:rPr>
          <w:rFonts w:cs="Arial"/>
          <w:szCs w:val="24"/>
          <w:highlight w:val="yellow"/>
          <w:lang w:eastAsia="en-GB"/>
        </w:rPr>
      </w:pPr>
      <w:r w:rsidRPr="002B1436">
        <w:rPr>
          <w:rFonts w:cs="Arial"/>
          <w:highlight w:val="yellow"/>
        </w:rPr>
        <w:t>Under this revised version of the guidance you may also reflect</w:t>
      </w:r>
      <w:r w:rsidR="003935ED" w:rsidRPr="002B1436">
        <w:rPr>
          <w:rFonts w:cs="Arial"/>
          <w:highlight w:val="yellow"/>
        </w:rPr>
        <w:t>:</w:t>
      </w:r>
      <w:r w:rsidRPr="002B1436">
        <w:rPr>
          <w:rFonts w:cs="Arial"/>
          <w:highlight w:val="yellow"/>
        </w:rPr>
        <w:t xml:space="preserve"> </w:t>
      </w:r>
    </w:p>
    <w:p w:rsidR="00DB2694" w:rsidRPr="002B1436" w:rsidRDefault="003935ED" w:rsidP="0086258B">
      <w:pPr>
        <w:numPr>
          <w:ilvl w:val="0"/>
          <w:numId w:val="51"/>
        </w:numPr>
        <w:rPr>
          <w:rFonts w:cs="Arial"/>
          <w:szCs w:val="24"/>
          <w:highlight w:val="yellow"/>
          <w:lang w:eastAsia="en-GB"/>
        </w:rPr>
      </w:pPr>
      <w:r w:rsidRPr="002B1436">
        <w:rPr>
          <w:rFonts w:cs="Arial"/>
          <w:b/>
          <w:highlight w:val="yellow"/>
        </w:rPr>
        <w:t>P</w:t>
      </w:r>
      <w:r w:rsidR="00012E75" w:rsidRPr="002B1436">
        <w:rPr>
          <w:rFonts w:cs="Arial"/>
          <w:b/>
          <w:highlight w:val="yellow"/>
        </w:rPr>
        <w:t xml:space="preserve">urchases of certified grid-injected </w:t>
      </w:r>
      <w:proofErr w:type="spellStart"/>
      <w:r w:rsidR="00012E75" w:rsidRPr="002B1436">
        <w:rPr>
          <w:rFonts w:cs="Arial"/>
          <w:b/>
          <w:highlight w:val="yellow"/>
        </w:rPr>
        <w:t>biomethane</w:t>
      </w:r>
      <w:proofErr w:type="spellEnd"/>
      <w:r w:rsidR="00012E75" w:rsidRPr="002B1436">
        <w:rPr>
          <w:rFonts w:cs="Arial"/>
          <w:highlight w:val="yellow"/>
        </w:rPr>
        <w:t xml:space="preserve"> (see </w:t>
      </w:r>
      <w:hyperlink w:anchor="_Biogas_and_biomethane" w:history="1">
        <w:r w:rsidR="00012E75" w:rsidRPr="002B1436">
          <w:rPr>
            <w:rStyle w:val="Hyperlink"/>
            <w:rFonts w:cs="Arial"/>
            <w:highlight w:val="yellow"/>
          </w:rPr>
          <w:t>Annex G</w:t>
        </w:r>
      </w:hyperlink>
      <w:r w:rsidR="00012E75" w:rsidRPr="002B1436">
        <w:rPr>
          <w:rFonts w:cs="Arial"/>
          <w:highlight w:val="yellow"/>
        </w:rPr>
        <w:t>)</w:t>
      </w:r>
      <w:r w:rsidR="00DB2694" w:rsidRPr="002B1436">
        <w:rPr>
          <w:rFonts w:cs="Arial"/>
          <w:highlight w:val="yellow"/>
        </w:rPr>
        <w:t>.</w:t>
      </w:r>
    </w:p>
    <w:p w:rsidR="00C10FC0" w:rsidRPr="002B1436" w:rsidRDefault="00C10FC0" w:rsidP="002B1436">
      <w:pPr>
        <w:numPr>
          <w:ilvl w:val="0"/>
          <w:numId w:val="51"/>
        </w:numPr>
        <w:rPr>
          <w:highlight w:val="yellow"/>
        </w:rPr>
      </w:pPr>
      <w:r w:rsidRPr="002B1436">
        <w:rPr>
          <w:rFonts w:cs="Arial"/>
          <w:b/>
          <w:highlight w:val="yellow"/>
        </w:rPr>
        <w:t>R</w:t>
      </w:r>
      <w:r w:rsidR="00012E75" w:rsidRPr="002B1436">
        <w:rPr>
          <w:rFonts w:cs="Arial"/>
          <w:b/>
          <w:highlight w:val="yellow"/>
        </w:rPr>
        <w:t>enewable electricity purchases</w:t>
      </w:r>
      <w:r w:rsidRPr="002B1436">
        <w:rPr>
          <w:rFonts w:cs="Arial"/>
          <w:highlight w:val="yellow"/>
        </w:rPr>
        <w:t>,</w:t>
      </w:r>
      <w:r w:rsidR="00012E75" w:rsidRPr="002B1436">
        <w:rPr>
          <w:rFonts w:cs="Arial"/>
          <w:highlight w:val="yellow"/>
        </w:rPr>
        <w:t xml:space="preserve"> where they meet the criteria defined in </w:t>
      </w:r>
      <w:hyperlink w:anchor="_Biogas_and_biomethane" w:history="1">
        <w:r w:rsidRPr="002B1436">
          <w:rPr>
            <w:rStyle w:val="Hyperlink"/>
            <w:rFonts w:cs="Arial"/>
            <w:highlight w:val="yellow"/>
          </w:rPr>
          <w:t>Annex G</w:t>
        </w:r>
      </w:hyperlink>
      <w:r w:rsidR="00AC1E4B" w:rsidRPr="002B1436">
        <w:rPr>
          <w:highlight w:val="yellow"/>
        </w:rPr>
        <w:t xml:space="preserve">, </w:t>
      </w:r>
      <w:r w:rsidR="00253361" w:rsidRPr="002B1436">
        <w:rPr>
          <w:highlight w:val="yellow"/>
        </w:rPr>
        <w:t>w</w:t>
      </w:r>
      <w:r w:rsidRPr="002B1436">
        <w:rPr>
          <w:highlight w:val="yellow"/>
        </w:rPr>
        <w:t xml:space="preserve">hich have also been updated </w:t>
      </w:r>
      <w:r w:rsidR="00253361" w:rsidRPr="002B1436">
        <w:rPr>
          <w:highlight w:val="yellow"/>
        </w:rPr>
        <w:t>in this revised guidance.</w:t>
      </w:r>
    </w:p>
    <w:p w:rsidR="003F5A5E" w:rsidRDefault="009D4DE1" w:rsidP="003F5A5E">
      <w:r w:rsidRPr="002B1436">
        <w:rPr>
          <w:highlight w:val="yellow"/>
        </w:rPr>
        <w:t>I</w:t>
      </w:r>
      <w:r w:rsidR="00373513" w:rsidRPr="002B1436">
        <w:rPr>
          <w:highlight w:val="yellow"/>
        </w:rPr>
        <w:t xml:space="preserve">f organisations wish, they may deduct emission reductions from the </w:t>
      </w:r>
      <w:r w:rsidR="00DB2694" w:rsidRPr="002B1436">
        <w:rPr>
          <w:highlight w:val="yellow"/>
        </w:rPr>
        <w:t>four</w:t>
      </w:r>
      <w:r w:rsidR="00012E75" w:rsidRPr="002B1436">
        <w:rPr>
          <w:highlight w:val="yellow"/>
        </w:rPr>
        <w:t xml:space="preserve"> </w:t>
      </w:r>
      <w:r w:rsidR="00AC360C" w:rsidRPr="002B1436">
        <w:rPr>
          <w:highlight w:val="yellow"/>
        </w:rPr>
        <w:t>categories above from their gross figure to produce a net figure</w:t>
      </w:r>
      <w:r w:rsidRPr="002B1436">
        <w:rPr>
          <w:highlight w:val="yellow"/>
        </w:rPr>
        <w:t xml:space="preserve">, as shown in the example reporting format </w:t>
      </w:r>
      <w:r w:rsidR="003935ED" w:rsidRPr="002B1436">
        <w:rPr>
          <w:highlight w:val="yellow"/>
        </w:rPr>
        <w:t xml:space="preserve">in </w:t>
      </w:r>
      <w:hyperlink w:anchor="_Annex_H:_Example_1" w:history="1">
        <w:r w:rsidRPr="002B1436">
          <w:rPr>
            <w:rStyle w:val="Hyperlink"/>
            <w:rFonts w:cs="Arial"/>
            <w:highlight w:val="yellow"/>
          </w:rPr>
          <w:t>Annex H</w:t>
        </w:r>
      </w:hyperlink>
      <w:r w:rsidR="00AC360C" w:rsidRPr="002B1436">
        <w:rPr>
          <w:highlight w:val="yellow"/>
        </w:rPr>
        <w:t>.</w:t>
      </w:r>
      <w:r w:rsidR="00AC360C">
        <w:t xml:space="preserve"> </w:t>
      </w:r>
      <w:r w:rsidR="00373513">
        <w:t xml:space="preserve"> </w:t>
      </w:r>
      <w:bookmarkStart w:id="132" w:name="_More_on_Scope"/>
      <w:bookmarkEnd w:id="132"/>
    </w:p>
    <w:p w:rsidR="00B90691" w:rsidRDefault="00461437" w:rsidP="003F5A5E">
      <w:pPr>
        <w:pStyle w:val="Heading2"/>
      </w:pPr>
      <w:bookmarkStart w:id="133" w:name="_Toc380763565"/>
      <w:r w:rsidRPr="002B1436">
        <w:rPr>
          <w:highlight w:val="yellow"/>
        </w:rPr>
        <w:t>More on Scope 2</w:t>
      </w:r>
      <w:bookmarkEnd w:id="133"/>
    </w:p>
    <w:p w:rsidR="00A4713A" w:rsidRDefault="00A4713A" w:rsidP="00A4713A">
      <w:bookmarkStart w:id="134" w:name="_Purchased_Electricity"/>
      <w:bookmarkEnd w:id="134"/>
      <w:r w:rsidRPr="002B1436">
        <w:rPr>
          <w:highlight w:val="yellow"/>
        </w:rPr>
        <w:t>Scope 2 includes purchased heat, steam and cooling as well as purchased electricity. However, purchased electricity will have the widest relevance and is subject to the biggest change in accounting guidance compared to the 2009 version of this document</w:t>
      </w:r>
      <w:r w:rsidR="00EC6FEE" w:rsidRPr="002B1436">
        <w:rPr>
          <w:highlight w:val="yellow"/>
        </w:rPr>
        <w:t xml:space="preserve">, </w:t>
      </w:r>
      <w:r w:rsidR="00DB2694" w:rsidRPr="002B1436">
        <w:rPr>
          <w:highlight w:val="yellow"/>
        </w:rPr>
        <w:t>h</w:t>
      </w:r>
      <w:r w:rsidRPr="002B1436">
        <w:rPr>
          <w:highlight w:val="yellow"/>
        </w:rPr>
        <w:t>ence the focus below.</w:t>
      </w:r>
    </w:p>
    <w:p w:rsidR="00061AEB" w:rsidRPr="002B1436" w:rsidRDefault="00061AEB" w:rsidP="00E80E7F">
      <w:pPr>
        <w:pStyle w:val="Heading3"/>
        <w:rPr>
          <w:highlight w:val="yellow"/>
        </w:rPr>
      </w:pPr>
      <w:r w:rsidRPr="002B1436">
        <w:rPr>
          <w:highlight w:val="yellow"/>
        </w:rPr>
        <w:lastRenderedPageBreak/>
        <w:t xml:space="preserve">Purchased Electricity </w:t>
      </w:r>
    </w:p>
    <w:p w:rsidR="00BF7FF5" w:rsidRPr="002B1436" w:rsidRDefault="00BF7FF5" w:rsidP="002B1436">
      <w:pPr>
        <w:pStyle w:val="Heading4"/>
        <w:rPr>
          <w:rFonts w:cs="Arial"/>
          <w:highlight w:val="yellow"/>
        </w:rPr>
      </w:pPr>
      <w:r w:rsidRPr="002B1436">
        <w:rPr>
          <w:highlight w:val="yellow"/>
        </w:rPr>
        <w:t>Gross emissions</w:t>
      </w:r>
      <w:r w:rsidR="00DC0134" w:rsidRPr="002B1436">
        <w:rPr>
          <w:highlight w:val="yellow"/>
        </w:rPr>
        <w:t xml:space="preserve"> (required)</w:t>
      </w:r>
    </w:p>
    <w:p w:rsidR="00253361" w:rsidRPr="002B1436" w:rsidRDefault="00FD30F4" w:rsidP="002B1436">
      <w:pPr>
        <w:rPr>
          <w:highlight w:val="yellow"/>
        </w:rPr>
      </w:pPr>
      <w:r w:rsidRPr="002B1436">
        <w:rPr>
          <w:highlight w:val="yellow"/>
        </w:rPr>
        <w:t xml:space="preserve">Purchased electricity will be the major source of Scope 2 emissions for most organisations.  </w:t>
      </w:r>
      <w:r w:rsidR="00AC1E4B" w:rsidRPr="002B1436">
        <w:rPr>
          <w:highlight w:val="yellow"/>
        </w:rPr>
        <w:t xml:space="preserve">Gross Scope 2 emissions from purchased electricity should be calculated using the </w:t>
      </w:r>
      <w:r w:rsidR="00253361" w:rsidRPr="002B1436">
        <w:rPr>
          <w:highlight w:val="yellow"/>
        </w:rPr>
        <w:t xml:space="preserve">grid-average emissions factor. This is known as a </w:t>
      </w:r>
      <w:r w:rsidR="00253361" w:rsidRPr="002B1436">
        <w:rPr>
          <w:i/>
          <w:highlight w:val="yellow"/>
        </w:rPr>
        <w:t>location-based approach</w:t>
      </w:r>
      <w:r w:rsidR="00AC1E4B" w:rsidRPr="002B1436">
        <w:rPr>
          <w:highlight w:val="yellow"/>
        </w:rPr>
        <w:t xml:space="preserve">, since it reflects the </w:t>
      </w:r>
      <w:r w:rsidR="00D41F0A" w:rsidRPr="002B1436">
        <w:rPr>
          <w:highlight w:val="yellow"/>
        </w:rPr>
        <w:t xml:space="preserve">actual </w:t>
      </w:r>
      <w:r w:rsidR="00AC1E4B" w:rsidRPr="002B1436">
        <w:rPr>
          <w:highlight w:val="yellow"/>
        </w:rPr>
        <w:t xml:space="preserve">electricity generation methods that supply the grid </w:t>
      </w:r>
      <w:r w:rsidR="003935ED" w:rsidRPr="002B1436">
        <w:rPr>
          <w:highlight w:val="yellow"/>
        </w:rPr>
        <w:t>at the locations where</w:t>
      </w:r>
      <w:r w:rsidR="00AC1E4B" w:rsidRPr="002B1436">
        <w:rPr>
          <w:highlight w:val="yellow"/>
        </w:rPr>
        <w:t xml:space="preserve"> your operations are connected.</w:t>
      </w:r>
      <w:r w:rsidR="00D07583" w:rsidRPr="002B1436">
        <w:rPr>
          <w:highlight w:val="yellow"/>
        </w:rPr>
        <w:t xml:space="preserve"> </w:t>
      </w:r>
    </w:p>
    <w:p w:rsidR="00084426" w:rsidRPr="002B1436" w:rsidRDefault="00084426" w:rsidP="00084426">
      <w:pPr>
        <w:rPr>
          <w:highlight w:val="yellow"/>
        </w:rPr>
      </w:pPr>
      <w:r w:rsidRPr="002B1436">
        <w:rPr>
          <w:highlight w:val="yellow"/>
        </w:rPr>
        <w:t>In the UK, the annual grid-average emissions factor should be used. This reflects imports and exports of electricity to the national grid as well as generation connected to the grid. Organisations with operations in other countries should use grid emission factors that also take into account imports and exports, although they may not always be available.</w:t>
      </w:r>
      <w:r w:rsidR="00D07583" w:rsidRPr="002B1436">
        <w:rPr>
          <w:highlight w:val="yellow"/>
        </w:rPr>
        <w:t xml:space="preserve"> </w:t>
      </w:r>
      <w:r w:rsidRPr="002B1436">
        <w:rPr>
          <w:highlight w:val="yellow"/>
        </w:rPr>
        <w:t>This section was written with the UK in mind</w:t>
      </w:r>
      <w:r w:rsidRPr="002B1436">
        <w:rPr>
          <w:rFonts w:cs="Arial"/>
          <w:highlight w:val="yellow"/>
        </w:rPr>
        <w:t xml:space="preserve">. </w:t>
      </w:r>
      <w:r w:rsidRPr="002B1436">
        <w:rPr>
          <w:highlight w:val="yellow"/>
        </w:rPr>
        <w:t xml:space="preserve"> For other countries, organisations should look to the instructions or guidance given by authorities in those countries and the </w:t>
      </w:r>
      <w:hyperlink r:id="rId57" w:history="1">
        <w:r w:rsidRPr="002B1436">
          <w:rPr>
            <w:rStyle w:val="Hyperlink"/>
            <w:highlight w:val="yellow"/>
          </w:rPr>
          <w:t>GHG Protocol Scope 2 work</w:t>
        </w:r>
      </w:hyperlink>
      <w:r w:rsidRPr="002B1436">
        <w:rPr>
          <w:highlight w:val="yellow"/>
        </w:rPr>
        <w:t>.</w:t>
      </w:r>
      <w:bookmarkStart w:id="135" w:name="_GoBack"/>
      <w:bookmarkEnd w:id="135"/>
    </w:p>
    <w:p w:rsidR="00BF7FF5" w:rsidRPr="002B1436" w:rsidRDefault="00BF7FF5" w:rsidP="002B1436">
      <w:pPr>
        <w:pStyle w:val="Heading4"/>
        <w:rPr>
          <w:highlight w:val="yellow"/>
        </w:rPr>
      </w:pPr>
      <w:r w:rsidRPr="002B1436">
        <w:rPr>
          <w:highlight w:val="yellow"/>
        </w:rPr>
        <w:t>Net emissions</w:t>
      </w:r>
      <w:r w:rsidR="00DC0134" w:rsidRPr="002B1436">
        <w:rPr>
          <w:highlight w:val="yellow"/>
        </w:rPr>
        <w:t xml:space="preserve"> (optional)</w:t>
      </w:r>
    </w:p>
    <w:p w:rsidR="00BF7FF5" w:rsidRPr="002B1436" w:rsidRDefault="00AC1E4B" w:rsidP="002B1436">
      <w:pPr>
        <w:rPr>
          <w:highlight w:val="yellow"/>
        </w:rPr>
      </w:pPr>
      <w:r w:rsidRPr="002B1436">
        <w:rPr>
          <w:highlight w:val="yellow"/>
        </w:rPr>
        <w:t xml:space="preserve">Additionally, if reporting </w:t>
      </w:r>
      <w:r w:rsidR="00A54A9D" w:rsidRPr="002B1436">
        <w:rPr>
          <w:highlight w:val="yellow"/>
        </w:rPr>
        <w:t>ne</w:t>
      </w:r>
      <w:r w:rsidRPr="002B1436">
        <w:rPr>
          <w:highlight w:val="yellow"/>
        </w:rPr>
        <w:t xml:space="preserve">t Scope 2 emissions, companies may use a reduced emissions factor to account for any purchased renewable electricity that meets the </w:t>
      </w:r>
      <w:r w:rsidR="00BF7FF5" w:rsidRPr="002B1436">
        <w:rPr>
          <w:highlight w:val="yellow"/>
        </w:rPr>
        <w:t xml:space="preserve">revised </w:t>
      </w:r>
      <w:proofErr w:type="spellStart"/>
      <w:r w:rsidRPr="002B1436">
        <w:rPr>
          <w:highlight w:val="yellow"/>
        </w:rPr>
        <w:t>critera</w:t>
      </w:r>
      <w:proofErr w:type="spellEnd"/>
      <w:r w:rsidRPr="002B1436">
        <w:rPr>
          <w:highlight w:val="yellow"/>
        </w:rPr>
        <w:t xml:space="preserve"> set out in </w:t>
      </w:r>
      <w:hyperlink w:anchor="_Biogas_and_biomethane" w:history="1">
        <w:r w:rsidRPr="002B1436">
          <w:rPr>
            <w:rStyle w:val="Hyperlink"/>
            <w:rFonts w:cs="Arial"/>
            <w:highlight w:val="yellow"/>
          </w:rPr>
          <w:t>Annex G</w:t>
        </w:r>
      </w:hyperlink>
      <w:r w:rsidRPr="002B1436">
        <w:rPr>
          <w:highlight w:val="yellow"/>
        </w:rPr>
        <w:t xml:space="preserve">. This is known as a </w:t>
      </w:r>
      <w:r w:rsidRPr="002B1436">
        <w:rPr>
          <w:i/>
          <w:highlight w:val="yellow"/>
        </w:rPr>
        <w:t>market-based approach</w:t>
      </w:r>
      <w:r w:rsidRPr="002B1436">
        <w:rPr>
          <w:highlight w:val="yellow"/>
        </w:rPr>
        <w:t xml:space="preserve">, reflecting the contractual agreement with the supplier. </w:t>
      </w:r>
      <w:r w:rsidR="004407C8" w:rsidRPr="002B1436">
        <w:rPr>
          <w:highlight w:val="yellow"/>
        </w:rPr>
        <w:t>The</w:t>
      </w:r>
      <w:r w:rsidR="00084426" w:rsidRPr="002B1436">
        <w:rPr>
          <w:highlight w:val="yellow"/>
        </w:rPr>
        <w:t>se</w:t>
      </w:r>
      <w:r w:rsidR="004407C8" w:rsidRPr="002B1436">
        <w:rPr>
          <w:highlight w:val="yellow"/>
        </w:rPr>
        <w:t xml:space="preserve"> criteria </w:t>
      </w:r>
      <w:r w:rsidR="00BF7FF5" w:rsidRPr="002B1436">
        <w:rPr>
          <w:highlight w:val="yellow"/>
        </w:rPr>
        <w:t xml:space="preserve">have been updated from those issued in the 2009 guidance. Full details are given in </w:t>
      </w:r>
      <w:hyperlink w:anchor="_Biogas_and_biomethane" w:history="1">
        <w:r w:rsidR="00BF7FF5" w:rsidRPr="002B1436">
          <w:rPr>
            <w:rStyle w:val="Hyperlink"/>
            <w:rFonts w:cs="Arial"/>
            <w:highlight w:val="yellow"/>
          </w:rPr>
          <w:t>Annex G</w:t>
        </w:r>
      </w:hyperlink>
      <w:r w:rsidR="00BF7FF5" w:rsidRPr="002B1436">
        <w:rPr>
          <w:rStyle w:val="Hyperlink"/>
          <w:rFonts w:cs="Arial"/>
          <w:highlight w:val="yellow"/>
        </w:rPr>
        <w:t xml:space="preserve"> </w:t>
      </w:r>
      <w:r w:rsidR="00BF7FF5" w:rsidRPr="002B1436">
        <w:rPr>
          <w:highlight w:val="yellow"/>
        </w:rPr>
        <w:t xml:space="preserve">. </w:t>
      </w:r>
    </w:p>
    <w:p w:rsidR="004407C8" w:rsidRPr="002B1436" w:rsidRDefault="00BF7FF5" w:rsidP="002B1436">
      <w:pPr>
        <w:rPr>
          <w:highlight w:val="yellow"/>
        </w:rPr>
      </w:pPr>
      <w:r w:rsidRPr="002B1436">
        <w:rPr>
          <w:highlight w:val="yellow"/>
        </w:rPr>
        <w:t>T</w:t>
      </w:r>
      <w:r w:rsidR="004407C8" w:rsidRPr="002B1436">
        <w:rPr>
          <w:highlight w:val="yellow"/>
        </w:rPr>
        <w:t xml:space="preserve">his </w:t>
      </w:r>
      <w:r w:rsidRPr="002B1436">
        <w:rPr>
          <w:highlight w:val="yellow"/>
        </w:rPr>
        <w:t xml:space="preserve">revision </w:t>
      </w:r>
      <w:r w:rsidR="004407C8" w:rsidRPr="002B1436">
        <w:rPr>
          <w:highlight w:val="yellow"/>
        </w:rPr>
        <w:t xml:space="preserve">may trigger a base year re-calculation </w:t>
      </w:r>
      <w:r w:rsidR="00BF70E1" w:rsidRPr="002B1436">
        <w:rPr>
          <w:highlight w:val="yellow"/>
        </w:rPr>
        <w:t>of n</w:t>
      </w:r>
      <w:r w:rsidRPr="002B1436">
        <w:rPr>
          <w:highlight w:val="yellow"/>
        </w:rPr>
        <w:t xml:space="preserve">et emissions </w:t>
      </w:r>
      <w:r w:rsidR="004407C8" w:rsidRPr="002B1436">
        <w:rPr>
          <w:highlight w:val="yellow"/>
        </w:rPr>
        <w:t xml:space="preserve">for organisations with renewable electricity purchases in their base year that did not meet the 2009 criteria but do meet the new criteria. All organisations should review their targets in light of the change. </w:t>
      </w:r>
    </w:p>
    <w:p w:rsidR="00FD30F4" w:rsidRDefault="00FD30F4" w:rsidP="002B1436">
      <w:r w:rsidRPr="002B1436">
        <w:rPr>
          <w:highlight w:val="yellow"/>
        </w:rPr>
        <w:t>More precise definitions</w:t>
      </w:r>
      <w:r w:rsidR="00654EF5" w:rsidRPr="002B1436">
        <w:rPr>
          <w:highlight w:val="yellow"/>
        </w:rPr>
        <w:t xml:space="preserve"> </w:t>
      </w:r>
      <w:proofErr w:type="gramStart"/>
      <w:r w:rsidR="00654EF5" w:rsidRPr="002B1436">
        <w:rPr>
          <w:highlight w:val="yellow"/>
        </w:rPr>
        <w:t xml:space="preserve">of  </w:t>
      </w:r>
      <w:r w:rsidR="00BF7FF5" w:rsidRPr="002B1436">
        <w:rPr>
          <w:highlight w:val="yellow"/>
        </w:rPr>
        <w:t>these</w:t>
      </w:r>
      <w:proofErr w:type="gramEnd"/>
      <w:r w:rsidR="00BF7FF5" w:rsidRPr="002B1436">
        <w:rPr>
          <w:highlight w:val="yellow"/>
        </w:rPr>
        <w:t xml:space="preserve"> </w:t>
      </w:r>
      <w:r w:rsidR="006E2718" w:rsidRPr="002B1436">
        <w:rPr>
          <w:highlight w:val="yellow"/>
        </w:rPr>
        <w:t xml:space="preserve">two </w:t>
      </w:r>
      <w:r w:rsidR="00654EF5" w:rsidRPr="002B1436">
        <w:rPr>
          <w:highlight w:val="yellow"/>
        </w:rPr>
        <w:t xml:space="preserve">approaches </w:t>
      </w:r>
      <w:r w:rsidRPr="002B1436">
        <w:rPr>
          <w:highlight w:val="yellow"/>
        </w:rPr>
        <w:t xml:space="preserve">can be found on the </w:t>
      </w:r>
      <w:hyperlink r:id="rId58" w:history="1">
        <w:r w:rsidR="00BF7FF5" w:rsidRPr="002B1436">
          <w:rPr>
            <w:rStyle w:val="Hyperlink"/>
            <w:highlight w:val="yellow"/>
          </w:rPr>
          <w:t>GHG protocol webpages</w:t>
        </w:r>
      </w:hyperlink>
      <w:r w:rsidRPr="002B1436">
        <w:rPr>
          <w:highlight w:val="yellow"/>
        </w:rPr>
        <w:t xml:space="preserve"> covering its work on Scope 2 accounting. The Defra approach draws on this work</w:t>
      </w:r>
      <w:r w:rsidR="008149DF" w:rsidRPr="002B1436">
        <w:rPr>
          <w:highlight w:val="yellow"/>
        </w:rPr>
        <w:t>,</w:t>
      </w:r>
      <w:r w:rsidRPr="002B1436">
        <w:rPr>
          <w:highlight w:val="yellow"/>
        </w:rPr>
        <w:t xml:space="preserve"> although this document was published before the Scope 2 </w:t>
      </w:r>
      <w:r w:rsidR="008149DF" w:rsidRPr="002B1436">
        <w:rPr>
          <w:highlight w:val="yellow"/>
        </w:rPr>
        <w:t>Guidance was published.</w:t>
      </w:r>
      <w:r w:rsidR="00061AEB">
        <w:t xml:space="preserve"> </w:t>
      </w:r>
    </w:p>
    <w:p w:rsidR="00061AEB" w:rsidRDefault="00061AEB" w:rsidP="00FD30F4">
      <w:pPr>
        <w:spacing w:line="240" w:lineRule="auto"/>
        <w:contextualSpacing/>
      </w:pPr>
    </w:p>
    <w:p w:rsidR="00CE0EA8" w:rsidRPr="002B1436" w:rsidRDefault="002A7CFD" w:rsidP="00D07583">
      <w:pPr>
        <w:pStyle w:val="Heading4"/>
        <w:rPr>
          <w:highlight w:val="yellow"/>
        </w:rPr>
      </w:pPr>
      <w:r w:rsidRPr="002B1436">
        <w:rPr>
          <w:highlight w:val="yellow"/>
        </w:rPr>
        <w:t xml:space="preserve">How </w:t>
      </w:r>
      <w:r w:rsidR="00CE0EA8" w:rsidRPr="002B1436">
        <w:rPr>
          <w:highlight w:val="yellow"/>
        </w:rPr>
        <w:t>should I report</w:t>
      </w:r>
      <w:r w:rsidR="00AA23E5" w:rsidRPr="002B1436">
        <w:rPr>
          <w:highlight w:val="yellow"/>
        </w:rPr>
        <w:t xml:space="preserve"> Scope 2 figures</w:t>
      </w:r>
      <w:r w:rsidR="009D4DE1" w:rsidRPr="002B1436">
        <w:rPr>
          <w:highlight w:val="yellow"/>
        </w:rPr>
        <w:t xml:space="preserve"> due to purchased electricity</w:t>
      </w:r>
      <w:r w:rsidR="00CE0EA8" w:rsidRPr="002B1436">
        <w:rPr>
          <w:highlight w:val="yellow"/>
        </w:rPr>
        <w:t>?</w:t>
      </w:r>
    </w:p>
    <w:p w:rsidR="002B1E22" w:rsidRDefault="00CE0EA8" w:rsidP="00920B2B">
      <w:r w:rsidRPr="002B1436">
        <w:rPr>
          <w:highlight w:val="yellow"/>
        </w:rPr>
        <w:t xml:space="preserve">A </w:t>
      </w:r>
      <w:r w:rsidR="00A474F2" w:rsidRPr="002B1436">
        <w:rPr>
          <w:highlight w:val="yellow"/>
        </w:rPr>
        <w:t>g</w:t>
      </w:r>
      <w:r w:rsidR="008F6231" w:rsidRPr="002B1436">
        <w:rPr>
          <w:highlight w:val="yellow"/>
        </w:rPr>
        <w:t xml:space="preserve">ross </w:t>
      </w:r>
      <w:r w:rsidRPr="002B1436">
        <w:rPr>
          <w:highlight w:val="yellow"/>
        </w:rPr>
        <w:t xml:space="preserve">location-based Scope 2 figure should </w:t>
      </w:r>
      <w:r w:rsidR="00AA23E5" w:rsidRPr="002B1436">
        <w:rPr>
          <w:highlight w:val="yellow"/>
        </w:rPr>
        <w:t xml:space="preserve">always </w:t>
      </w:r>
      <w:r w:rsidRPr="002B1436">
        <w:rPr>
          <w:highlight w:val="yellow"/>
        </w:rPr>
        <w:t xml:space="preserve">be reported. </w:t>
      </w:r>
      <w:r w:rsidR="00A474F2" w:rsidRPr="002B1436">
        <w:rPr>
          <w:highlight w:val="yellow"/>
        </w:rPr>
        <w:t>Optionally, i</w:t>
      </w:r>
      <w:r w:rsidRPr="002B1436">
        <w:rPr>
          <w:highlight w:val="yellow"/>
        </w:rPr>
        <w:t>f the organisation has</w:t>
      </w:r>
      <w:r w:rsidR="00ED7D8A" w:rsidRPr="002B1436">
        <w:rPr>
          <w:highlight w:val="yellow"/>
        </w:rPr>
        <w:t xml:space="preserve"> purchased renewable electricity that meets the cri</w:t>
      </w:r>
      <w:r w:rsidRPr="002B1436">
        <w:rPr>
          <w:highlight w:val="yellow"/>
        </w:rPr>
        <w:t xml:space="preserve">teria </w:t>
      </w:r>
      <w:r w:rsidR="00DC0134" w:rsidRPr="002B1436">
        <w:rPr>
          <w:highlight w:val="yellow"/>
        </w:rPr>
        <w:lastRenderedPageBreak/>
        <w:t xml:space="preserve">in </w:t>
      </w:r>
      <w:hyperlink w:anchor="_Biogas_and_biomethane" w:history="1">
        <w:r w:rsidR="00DC0134" w:rsidRPr="002B1436">
          <w:rPr>
            <w:rStyle w:val="Hyperlink"/>
            <w:rFonts w:cs="Arial"/>
            <w:highlight w:val="yellow"/>
          </w:rPr>
          <w:t>Annex G</w:t>
        </w:r>
      </w:hyperlink>
      <w:r w:rsidRPr="002B1436">
        <w:rPr>
          <w:highlight w:val="yellow"/>
        </w:rPr>
        <w:t xml:space="preserve">, then </w:t>
      </w:r>
      <w:r w:rsidR="00D07583" w:rsidRPr="002B1436">
        <w:rPr>
          <w:highlight w:val="yellow"/>
        </w:rPr>
        <w:t xml:space="preserve">this may be reflected in </w:t>
      </w:r>
      <w:r w:rsidR="00ED7D8A" w:rsidRPr="002B1436">
        <w:rPr>
          <w:highlight w:val="yellow"/>
        </w:rPr>
        <w:t>a</w:t>
      </w:r>
      <w:r w:rsidR="00D07583" w:rsidRPr="002B1436">
        <w:rPr>
          <w:highlight w:val="yellow"/>
        </w:rPr>
        <w:t>ny</w:t>
      </w:r>
      <w:r w:rsidR="00ED7D8A" w:rsidRPr="002B1436">
        <w:rPr>
          <w:highlight w:val="yellow"/>
        </w:rPr>
        <w:t xml:space="preserve"> </w:t>
      </w:r>
      <w:r w:rsidR="00A474F2" w:rsidRPr="002B1436">
        <w:rPr>
          <w:highlight w:val="yellow"/>
        </w:rPr>
        <w:t>n</w:t>
      </w:r>
      <w:r w:rsidR="009C50FA" w:rsidRPr="002B1436">
        <w:rPr>
          <w:highlight w:val="yellow"/>
        </w:rPr>
        <w:t xml:space="preserve">et </w:t>
      </w:r>
      <w:r w:rsidR="008F6231" w:rsidRPr="002B1436">
        <w:rPr>
          <w:highlight w:val="yellow"/>
        </w:rPr>
        <w:t>S</w:t>
      </w:r>
      <w:r w:rsidR="00AA23E5" w:rsidRPr="002B1436">
        <w:rPr>
          <w:highlight w:val="yellow"/>
        </w:rPr>
        <w:t>cope 2 figure</w:t>
      </w:r>
      <w:r w:rsidR="00D07583" w:rsidRPr="002B1436">
        <w:rPr>
          <w:highlight w:val="yellow"/>
        </w:rPr>
        <w:t xml:space="preserve"> it </w:t>
      </w:r>
      <w:r w:rsidR="00A474F2" w:rsidRPr="002B1436">
        <w:rPr>
          <w:highlight w:val="yellow"/>
        </w:rPr>
        <w:t xml:space="preserve">chooses to </w:t>
      </w:r>
      <w:r w:rsidR="00DC0134" w:rsidRPr="002B1436">
        <w:rPr>
          <w:highlight w:val="yellow"/>
        </w:rPr>
        <w:t>report.</w:t>
      </w:r>
      <w:r w:rsidR="00673A0C" w:rsidRPr="002B1436">
        <w:rPr>
          <w:highlight w:val="yellow"/>
        </w:rPr>
        <w:t xml:space="preserve"> </w:t>
      </w:r>
      <w:proofErr w:type="spellStart"/>
      <w:r w:rsidR="00A474F2" w:rsidRPr="002B1436">
        <w:rPr>
          <w:highlight w:val="yellow"/>
        </w:rPr>
        <w:t>Organisatons</w:t>
      </w:r>
      <w:proofErr w:type="spellEnd"/>
      <w:r w:rsidR="00A474F2" w:rsidRPr="002B1436">
        <w:rPr>
          <w:highlight w:val="yellow"/>
        </w:rPr>
        <w:t xml:space="preserve"> following this voluntary guidance</w:t>
      </w:r>
      <w:r w:rsidR="00920B2B" w:rsidRPr="002B1436">
        <w:rPr>
          <w:rStyle w:val="FootnoteReference"/>
          <w:highlight w:val="yellow"/>
        </w:rPr>
        <w:footnoteReference w:id="50"/>
      </w:r>
      <w:r w:rsidR="00A474F2" w:rsidRPr="002B1436">
        <w:rPr>
          <w:highlight w:val="yellow"/>
        </w:rPr>
        <w:t xml:space="preserve"> should report using the format shown in </w:t>
      </w:r>
      <w:hyperlink w:anchor="_Annex_H:_Example" w:history="1">
        <w:r w:rsidR="00920B2B" w:rsidRPr="002B1436">
          <w:rPr>
            <w:rStyle w:val="Hyperlink"/>
            <w:highlight w:val="yellow"/>
          </w:rPr>
          <w:t>Annex H</w:t>
        </w:r>
      </w:hyperlink>
      <w:r w:rsidR="00920B2B" w:rsidRPr="002B1436">
        <w:rPr>
          <w:rStyle w:val="Hyperlink"/>
          <w:highlight w:val="yellow"/>
        </w:rPr>
        <w:t>.</w:t>
      </w:r>
    </w:p>
    <w:p w:rsidR="00D85650" w:rsidRPr="002B1436" w:rsidRDefault="00461437" w:rsidP="00E80E7F">
      <w:pPr>
        <w:pStyle w:val="Heading3"/>
      </w:pPr>
      <w:r w:rsidRPr="002B1436">
        <w:t>Electricity generation</w:t>
      </w:r>
    </w:p>
    <w:p w:rsidR="002E30ED" w:rsidRDefault="00CA48E8" w:rsidP="00461437">
      <w:r>
        <w:t xml:space="preserve">Organisations may generate electricity for their own use, to supply the grid or both. </w:t>
      </w:r>
      <w:r w:rsidR="00C358C9">
        <w:t xml:space="preserve"> </w:t>
      </w:r>
      <w:r>
        <w:t>When an organisation generates electricity for its own use, this will alter the amount of electricity that it buys</w:t>
      </w:r>
      <w:r w:rsidR="00AA23E5">
        <w:t>,</w:t>
      </w:r>
      <w:r>
        <w:t xml:space="preserve"> and hence its Scope 2 emissions. Its Scope 1 emissions may be altered too</w:t>
      </w:r>
      <w:r w:rsidR="00445706">
        <w:t xml:space="preserve">. If it </w:t>
      </w:r>
      <w:r>
        <w:t>burn</w:t>
      </w:r>
      <w:r w:rsidR="00445706">
        <w:t>s</w:t>
      </w:r>
      <w:r>
        <w:t xml:space="preserve"> fossil fuels</w:t>
      </w:r>
      <w:r w:rsidR="00445706">
        <w:t>,</w:t>
      </w:r>
      <w:r>
        <w:t xml:space="preserve"> </w:t>
      </w:r>
      <w:r w:rsidR="006F7789">
        <w:t xml:space="preserve">its Scope 1 emissions will </w:t>
      </w:r>
      <w:r w:rsidR="00445706">
        <w:t xml:space="preserve">increase. If </w:t>
      </w:r>
      <w:r w:rsidR="009C50FA">
        <w:t xml:space="preserve">it </w:t>
      </w:r>
      <w:r w:rsidR="006F7789">
        <w:t>burn</w:t>
      </w:r>
      <w:r w:rsidR="00445706">
        <w:t>s</w:t>
      </w:r>
      <w:r w:rsidR="006F7789">
        <w:t xml:space="preserve"> biomass</w:t>
      </w:r>
      <w:r w:rsidR="00445706">
        <w:t>, this wi</w:t>
      </w:r>
      <w:r w:rsidR="006F7789">
        <w:t>ll be reflected in its biogenic emissions and possibly Scope 1</w:t>
      </w:r>
      <w:r w:rsidR="00CB252E">
        <w:t xml:space="preserve"> emissions (see</w:t>
      </w:r>
      <w:r w:rsidR="00CB5D07">
        <w:t xml:space="preserve"> Chapter 3</w:t>
      </w:r>
      <w:r w:rsidR="00B23427">
        <w:t>,</w:t>
      </w:r>
      <w:r w:rsidR="00CB5D07">
        <w:t xml:space="preserve"> </w:t>
      </w:r>
      <w:hyperlink w:anchor="_Determine_which_emissions" w:history="1">
        <w:r w:rsidR="00CB5D07">
          <w:rPr>
            <w:rStyle w:val="Hyperlink"/>
          </w:rPr>
          <w:t>The Scopes</w:t>
        </w:r>
      </w:hyperlink>
      <w:r w:rsidR="006F7789">
        <w:t xml:space="preserve">). Non-combustion methods of generating electricity such as wind or solar will not increase </w:t>
      </w:r>
      <w:r w:rsidR="00445706">
        <w:t xml:space="preserve">its </w:t>
      </w:r>
      <w:r w:rsidR="006F7789">
        <w:t>Scope 1 emissions.</w:t>
      </w:r>
      <w:r w:rsidR="00445706">
        <w:t xml:space="preserve"> </w:t>
      </w:r>
    </w:p>
    <w:p w:rsidR="002E30ED" w:rsidRPr="002B1436" w:rsidRDefault="003A6346" w:rsidP="00461437">
      <w:pPr>
        <w:rPr>
          <w:highlight w:val="yellow"/>
        </w:rPr>
      </w:pPr>
      <w:r w:rsidRPr="002B1436">
        <w:rPr>
          <w:highlight w:val="yellow"/>
        </w:rPr>
        <w:t>The following</w:t>
      </w:r>
      <w:r w:rsidR="0008423E" w:rsidRPr="002B1436">
        <w:rPr>
          <w:highlight w:val="yellow"/>
        </w:rPr>
        <w:t xml:space="preserve"> guidance </w:t>
      </w:r>
      <w:r w:rsidR="00AA23E5" w:rsidRPr="002B1436">
        <w:rPr>
          <w:highlight w:val="yellow"/>
        </w:rPr>
        <w:t xml:space="preserve">only </w:t>
      </w:r>
      <w:r w:rsidRPr="002B1436">
        <w:rPr>
          <w:highlight w:val="yellow"/>
        </w:rPr>
        <w:t xml:space="preserve">relates to </w:t>
      </w:r>
      <w:r w:rsidR="0008423E" w:rsidRPr="002B1436">
        <w:rPr>
          <w:highlight w:val="yellow"/>
        </w:rPr>
        <w:t xml:space="preserve">the generation of </w:t>
      </w:r>
      <w:r w:rsidR="00CB252E" w:rsidRPr="002B1436">
        <w:rPr>
          <w:highlight w:val="yellow"/>
          <w:u w:val="single"/>
        </w:rPr>
        <w:t>renewable electricity</w:t>
      </w:r>
      <w:r w:rsidR="0008423E" w:rsidRPr="002B1436">
        <w:rPr>
          <w:highlight w:val="yellow"/>
        </w:rPr>
        <w:t xml:space="preserve">. In this case, the organisation </w:t>
      </w:r>
      <w:r w:rsidR="00CB252E" w:rsidRPr="002B1436">
        <w:rPr>
          <w:highlight w:val="yellow"/>
        </w:rPr>
        <w:t>may</w:t>
      </w:r>
      <w:r w:rsidR="002E30ED" w:rsidRPr="002B1436">
        <w:rPr>
          <w:highlight w:val="yellow"/>
        </w:rPr>
        <w:t>:</w:t>
      </w:r>
    </w:p>
    <w:p w:rsidR="002E30ED" w:rsidRPr="002B1436" w:rsidRDefault="002E30ED" w:rsidP="00807E61">
      <w:pPr>
        <w:numPr>
          <w:ilvl w:val="0"/>
          <w:numId w:val="76"/>
        </w:numPr>
        <w:rPr>
          <w:highlight w:val="yellow"/>
        </w:rPr>
      </w:pPr>
      <w:r w:rsidRPr="002B1436">
        <w:rPr>
          <w:highlight w:val="yellow"/>
        </w:rPr>
        <w:t xml:space="preserve">Use the electricity itself and keep the electricity attributes </w:t>
      </w:r>
      <w:r w:rsidR="00807E61" w:rsidRPr="002B1436">
        <w:rPr>
          <w:highlight w:val="yellow"/>
        </w:rPr>
        <w:t xml:space="preserve">(its generation characteristics such as the emission rate) to </w:t>
      </w:r>
      <w:r w:rsidRPr="002B1436">
        <w:rPr>
          <w:highlight w:val="yellow"/>
        </w:rPr>
        <w:t xml:space="preserve">reflect in </w:t>
      </w:r>
      <w:r w:rsidR="00C358C9" w:rsidRPr="002B1436">
        <w:rPr>
          <w:highlight w:val="yellow"/>
        </w:rPr>
        <w:t xml:space="preserve">its </w:t>
      </w:r>
      <w:r w:rsidR="00C358C9" w:rsidRPr="002B1436">
        <w:rPr>
          <w:i/>
          <w:highlight w:val="yellow"/>
        </w:rPr>
        <w:t>gross</w:t>
      </w:r>
      <w:r w:rsidR="006A3FC3" w:rsidRPr="002B1436">
        <w:rPr>
          <w:rStyle w:val="FootnoteReference"/>
          <w:i/>
          <w:highlight w:val="yellow"/>
        </w:rPr>
        <w:footnoteReference w:id="51"/>
      </w:r>
      <w:r w:rsidR="00C358C9" w:rsidRPr="002B1436">
        <w:rPr>
          <w:highlight w:val="yellow"/>
        </w:rPr>
        <w:t xml:space="preserve"> emission figures</w:t>
      </w:r>
      <w:r w:rsidR="00AA23E5" w:rsidRPr="002B1436">
        <w:rPr>
          <w:highlight w:val="yellow"/>
        </w:rPr>
        <w:t xml:space="preserve"> under both location-based and market-based methods</w:t>
      </w:r>
      <w:r w:rsidR="00C358C9" w:rsidRPr="002B1436">
        <w:rPr>
          <w:highlight w:val="yellow"/>
        </w:rPr>
        <w:t>.</w:t>
      </w:r>
      <w:r w:rsidR="00D40954" w:rsidRPr="002B1436">
        <w:rPr>
          <w:highlight w:val="yellow"/>
        </w:rPr>
        <w:t xml:space="preserve"> If REGOs and LECs have been issued, these should be </w:t>
      </w:r>
      <w:r w:rsidR="00C96735" w:rsidRPr="002B1436">
        <w:rPr>
          <w:highlight w:val="yellow"/>
        </w:rPr>
        <w:t xml:space="preserve">taken out of use </w:t>
      </w:r>
      <w:r w:rsidR="00D40954" w:rsidRPr="002B1436">
        <w:rPr>
          <w:highlight w:val="yellow"/>
        </w:rPr>
        <w:t>to avoid double-counting.</w:t>
      </w:r>
    </w:p>
    <w:p w:rsidR="002E30ED" w:rsidRPr="002B1436" w:rsidRDefault="00FB1530" w:rsidP="007004A3">
      <w:pPr>
        <w:numPr>
          <w:ilvl w:val="0"/>
          <w:numId w:val="76"/>
        </w:numPr>
        <w:ind w:left="709"/>
        <w:rPr>
          <w:highlight w:val="yellow"/>
        </w:rPr>
      </w:pPr>
      <w:r w:rsidRPr="002B1436">
        <w:rPr>
          <w:highlight w:val="yellow"/>
        </w:rPr>
        <w:t>U</w:t>
      </w:r>
      <w:r w:rsidR="002E30ED" w:rsidRPr="002B1436">
        <w:rPr>
          <w:highlight w:val="yellow"/>
        </w:rPr>
        <w:t xml:space="preserve">se the electricity, but sell the attributes as tracking certificates </w:t>
      </w:r>
      <w:r w:rsidR="00726EDB" w:rsidRPr="002B1436">
        <w:rPr>
          <w:highlight w:val="yellow"/>
        </w:rPr>
        <w:t>(</w:t>
      </w:r>
      <w:r w:rsidR="00137654" w:rsidRPr="002B1436">
        <w:rPr>
          <w:highlight w:val="yellow"/>
        </w:rPr>
        <w:t>REGOs</w:t>
      </w:r>
      <w:r w:rsidR="00BF70E1" w:rsidRPr="002B1436">
        <w:rPr>
          <w:highlight w:val="yellow"/>
        </w:rPr>
        <w:t xml:space="preserve"> </w:t>
      </w:r>
      <w:r w:rsidR="00137654" w:rsidRPr="002B1436">
        <w:rPr>
          <w:highlight w:val="yellow"/>
        </w:rPr>
        <w:t>and LECs</w:t>
      </w:r>
      <w:r w:rsidR="00726EDB" w:rsidRPr="002B1436">
        <w:rPr>
          <w:highlight w:val="yellow"/>
        </w:rPr>
        <w:t>)</w:t>
      </w:r>
      <w:r w:rsidR="00E50C50" w:rsidRPr="002B1436">
        <w:rPr>
          <w:highlight w:val="yellow"/>
        </w:rPr>
        <w:t xml:space="preserve"> to an electricity supplier</w:t>
      </w:r>
      <w:r w:rsidR="00C358C9" w:rsidRPr="002B1436">
        <w:rPr>
          <w:rStyle w:val="FootnoteReference"/>
          <w:highlight w:val="yellow"/>
        </w:rPr>
        <w:footnoteReference w:id="52"/>
      </w:r>
      <w:r w:rsidR="002E30ED" w:rsidRPr="002B1436">
        <w:rPr>
          <w:highlight w:val="yellow"/>
        </w:rPr>
        <w:t xml:space="preserve">. </w:t>
      </w:r>
      <w:r w:rsidR="00AA23E5" w:rsidRPr="002B1436">
        <w:rPr>
          <w:highlight w:val="yellow"/>
        </w:rPr>
        <w:t>Once</w:t>
      </w:r>
      <w:r w:rsidR="002E30ED" w:rsidRPr="002B1436">
        <w:rPr>
          <w:highlight w:val="yellow"/>
        </w:rPr>
        <w:t xml:space="preserve"> the attributes have been sold, the organisation needs to </w:t>
      </w:r>
      <w:r w:rsidR="00AA23E5" w:rsidRPr="002B1436">
        <w:rPr>
          <w:highlight w:val="yellow"/>
        </w:rPr>
        <w:t>effectively “</w:t>
      </w:r>
      <w:r w:rsidR="002E30ED" w:rsidRPr="002B1436">
        <w:rPr>
          <w:highlight w:val="yellow"/>
        </w:rPr>
        <w:t>replace</w:t>
      </w:r>
      <w:r w:rsidR="00AA23E5" w:rsidRPr="002B1436">
        <w:rPr>
          <w:highlight w:val="yellow"/>
        </w:rPr>
        <w:t>”</w:t>
      </w:r>
      <w:r w:rsidR="002E30ED" w:rsidRPr="002B1436">
        <w:rPr>
          <w:highlight w:val="yellow"/>
        </w:rPr>
        <w:t xml:space="preserve"> them</w:t>
      </w:r>
      <w:r w:rsidR="00AA23E5" w:rsidRPr="002B1436">
        <w:rPr>
          <w:highlight w:val="yellow"/>
        </w:rPr>
        <w:t xml:space="preserve"> in order to quantify the emissions of the electricity</w:t>
      </w:r>
      <w:r w:rsidR="002E30ED" w:rsidRPr="002B1436">
        <w:rPr>
          <w:highlight w:val="yellow"/>
        </w:rPr>
        <w:t>.</w:t>
      </w:r>
      <w:r w:rsidR="00807E61" w:rsidRPr="002B1436">
        <w:rPr>
          <w:highlight w:val="yellow"/>
        </w:rPr>
        <w:t xml:space="preserve"> </w:t>
      </w:r>
      <w:r w:rsidR="00AA23E5" w:rsidRPr="002B1436">
        <w:rPr>
          <w:highlight w:val="yellow"/>
        </w:rPr>
        <w:t>To</w:t>
      </w:r>
      <w:r w:rsidR="00807E61" w:rsidRPr="002B1436">
        <w:rPr>
          <w:highlight w:val="yellow"/>
        </w:rPr>
        <w:t xml:space="preserve"> avoid double-</w:t>
      </w:r>
      <w:proofErr w:type="gramStart"/>
      <w:r w:rsidR="00807E61" w:rsidRPr="002B1436">
        <w:rPr>
          <w:highlight w:val="yellow"/>
        </w:rPr>
        <w:t xml:space="preserve">counting </w:t>
      </w:r>
      <w:r w:rsidR="00AA23E5" w:rsidRPr="002B1436">
        <w:rPr>
          <w:highlight w:val="yellow"/>
        </w:rPr>
        <w:t xml:space="preserve"> attributes</w:t>
      </w:r>
      <w:proofErr w:type="gramEnd"/>
      <w:r w:rsidR="00AA23E5" w:rsidRPr="002B1436">
        <w:rPr>
          <w:highlight w:val="yellow"/>
        </w:rPr>
        <w:t>, the</w:t>
      </w:r>
      <w:hyperlink r:id="rId59" w:history="1">
        <w:r w:rsidR="00807E61" w:rsidRPr="002B1436">
          <w:rPr>
            <w:rStyle w:val="Hyperlink"/>
            <w:highlight w:val="yellow"/>
          </w:rPr>
          <w:t xml:space="preserve"> UK </w:t>
        </w:r>
        <w:r w:rsidR="00807E61" w:rsidRPr="002B1436">
          <w:rPr>
            <w:rStyle w:val="Hyperlink"/>
            <w:i/>
            <w:highlight w:val="yellow"/>
          </w:rPr>
          <w:t xml:space="preserve">residual </w:t>
        </w:r>
        <w:r w:rsidR="00807E61" w:rsidRPr="002B1436">
          <w:rPr>
            <w:rStyle w:val="Hyperlink"/>
            <w:highlight w:val="yellow"/>
          </w:rPr>
          <w:t>mix</w:t>
        </w:r>
      </w:hyperlink>
      <w:r w:rsidR="00BB1B11" w:rsidRPr="00E95283">
        <w:rPr>
          <w:rStyle w:val="FootnoteReference"/>
          <w:color w:val="0000FF"/>
          <w:highlight w:val="yellow"/>
          <w:u w:val="single"/>
        </w:rPr>
        <w:footnoteReference w:id="53"/>
      </w:r>
      <w:r w:rsidR="00807E61" w:rsidRPr="002B1436">
        <w:rPr>
          <w:highlight w:val="yellow"/>
        </w:rPr>
        <w:t xml:space="preserve"> </w:t>
      </w:r>
      <w:r w:rsidR="00713632" w:rsidRPr="002B1436">
        <w:rPr>
          <w:highlight w:val="yellow"/>
        </w:rPr>
        <w:t xml:space="preserve">should be used. This </w:t>
      </w:r>
      <w:r w:rsidR="00AA23E5" w:rsidRPr="002B1436">
        <w:rPr>
          <w:highlight w:val="yellow"/>
        </w:rPr>
        <w:t xml:space="preserve">residual mix emission factor </w:t>
      </w:r>
      <w:r w:rsidR="00713632" w:rsidRPr="002B1436">
        <w:rPr>
          <w:highlight w:val="yellow"/>
        </w:rPr>
        <w:t>should be multiplied by the number of</w:t>
      </w:r>
      <w:r w:rsidR="003A6346" w:rsidRPr="002B1436">
        <w:rPr>
          <w:highlight w:val="yellow"/>
        </w:rPr>
        <w:t xml:space="preserve"> </w:t>
      </w:r>
      <w:r w:rsidR="003A6346" w:rsidRPr="002B1436">
        <w:rPr>
          <w:highlight w:val="yellow"/>
        </w:rPr>
        <w:lastRenderedPageBreak/>
        <w:t>consumed</w:t>
      </w:r>
      <w:r w:rsidR="00C319AA" w:rsidRPr="002B1436">
        <w:rPr>
          <w:highlight w:val="yellow"/>
        </w:rPr>
        <w:t xml:space="preserve"> </w:t>
      </w:r>
      <w:proofErr w:type="spellStart"/>
      <w:r w:rsidR="00C319AA" w:rsidRPr="002B1436">
        <w:rPr>
          <w:highlight w:val="yellow"/>
        </w:rPr>
        <w:t>MWh</w:t>
      </w:r>
      <w:proofErr w:type="spellEnd"/>
      <w:r w:rsidR="00713632" w:rsidRPr="002B1436">
        <w:rPr>
          <w:highlight w:val="yellow"/>
        </w:rPr>
        <w:t xml:space="preserve"> </w:t>
      </w:r>
      <w:r w:rsidR="000D5312" w:rsidRPr="002B1436">
        <w:rPr>
          <w:highlight w:val="yellow"/>
        </w:rPr>
        <w:t xml:space="preserve">that </w:t>
      </w:r>
      <w:r w:rsidR="00C319AA" w:rsidRPr="002B1436">
        <w:rPr>
          <w:highlight w:val="yellow"/>
        </w:rPr>
        <w:t>are missing attributes</w:t>
      </w:r>
      <w:r w:rsidR="00577E2E" w:rsidRPr="002B1436">
        <w:rPr>
          <w:highlight w:val="yellow"/>
        </w:rPr>
        <w:t xml:space="preserve"> because of certificates sales</w:t>
      </w:r>
      <w:r w:rsidR="00C319AA" w:rsidRPr="002B1436">
        <w:rPr>
          <w:highlight w:val="yellow"/>
        </w:rPr>
        <w:t xml:space="preserve">. The figure is then </w:t>
      </w:r>
      <w:r w:rsidR="00713632" w:rsidRPr="002B1436">
        <w:rPr>
          <w:highlight w:val="yellow"/>
        </w:rPr>
        <w:t xml:space="preserve">aggregated into the </w:t>
      </w:r>
      <w:r w:rsidR="00713632" w:rsidRPr="002B1436">
        <w:rPr>
          <w:i/>
          <w:highlight w:val="yellow"/>
        </w:rPr>
        <w:t>gross</w:t>
      </w:r>
      <w:r w:rsidR="00713632" w:rsidRPr="002B1436">
        <w:rPr>
          <w:highlight w:val="yellow"/>
        </w:rPr>
        <w:t xml:space="preserve"> Scope 2 figure.</w:t>
      </w:r>
      <w:r w:rsidR="00C358C9" w:rsidRPr="002B1436">
        <w:rPr>
          <w:highlight w:val="yellow"/>
        </w:rPr>
        <w:t xml:space="preserve"> </w:t>
      </w:r>
    </w:p>
    <w:p w:rsidR="003E726B" w:rsidRPr="002B1436" w:rsidRDefault="00C358C9" w:rsidP="002B1436">
      <w:pPr>
        <w:numPr>
          <w:ilvl w:val="0"/>
          <w:numId w:val="76"/>
        </w:numPr>
        <w:autoSpaceDE w:val="0"/>
        <w:autoSpaceDN w:val="0"/>
        <w:adjustRightInd w:val="0"/>
        <w:spacing w:before="0" w:after="0" w:line="240" w:lineRule="auto"/>
        <w:rPr>
          <w:rFonts w:cs="Arial"/>
          <w:szCs w:val="16"/>
          <w:highlight w:val="yellow"/>
          <w:lang w:eastAsia="en-GB"/>
        </w:rPr>
      </w:pPr>
      <w:r w:rsidRPr="002B1436">
        <w:rPr>
          <w:highlight w:val="yellow"/>
        </w:rPr>
        <w:t>Sell</w:t>
      </w:r>
      <w:r w:rsidR="00E14C52" w:rsidRPr="002B1436">
        <w:rPr>
          <w:highlight w:val="yellow"/>
        </w:rPr>
        <w:t xml:space="preserve"> </w:t>
      </w:r>
      <w:r w:rsidR="00FB1530" w:rsidRPr="002B1436">
        <w:rPr>
          <w:highlight w:val="yellow"/>
        </w:rPr>
        <w:t xml:space="preserve">surplus electricity </w:t>
      </w:r>
      <w:r w:rsidR="00E14C52" w:rsidRPr="002B1436">
        <w:rPr>
          <w:highlight w:val="yellow"/>
        </w:rPr>
        <w:t>t</w:t>
      </w:r>
      <w:r w:rsidR="00FB1530" w:rsidRPr="002B1436">
        <w:rPr>
          <w:highlight w:val="yellow"/>
        </w:rPr>
        <w:t>o the grid</w:t>
      </w:r>
      <w:r w:rsidR="006A6F12" w:rsidRPr="002B1436">
        <w:rPr>
          <w:highlight w:val="yellow"/>
        </w:rPr>
        <w:t xml:space="preserve"> or a</w:t>
      </w:r>
      <w:r w:rsidR="00E14C52" w:rsidRPr="002B1436">
        <w:rPr>
          <w:highlight w:val="yellow"/>
        </w:rPr>
        <w:t>nother</w:t>
      </w:r>
      <w:r w:rsidR="006A6F12" w:rsidRPr="002B1436">
        <w:rPr>
          <w:highlight w:val="yellow"/>
        </w:rPr>
        <w:t xml:space="preserve"> third party</w:t>
      </w:r>
      <w:r w:rsidR="00FB1530" w:rsidRPr="002B1436">
        <w:rPr>
          <w:highlight w:val="yellow"/>
        </w:rPr>
        <w:t xml:space="preserve">.  </w:t>
      </w:r>
      <w:r w:rsidR="00E14C52" w:rsidRPr="002B1436">
        <w:rPr>
          <w:highlight w:val="yellow"/>
        </w:rPr>
        <w:t>This action</w:t>
      </w:r>
      <w:r w:rsidR="00CB252E" w:rsidRPr="002B1436">
        <w:rPr>
          <w:highlight w:val="yellow"/>
        </w:rPr>
        <w:t xml:space="preserve"> </w:t>
      </w:r>
      <w:r w:rsidR="00151A25" w:rsidRPr="002B1436">
        <w:rPr>
          <w:highlight w:val="yellow"/>
        </w:rPr>
        <w:t>can be</w:t>
      </w:r>
      <w:r w:rsidR="00CB252E" w:rsidRPr="002B1436">
        <w:rPr>
          <w:highlight w:val="yellow"/>
        </w:rPr>
        <w:t xml:space="preserve"> </w:t>
      </w:r>
      <w:r w:rsidR="00E14C52" w:rsidRPr="002B1436">
        <w:rPr>
          <w:highlight w:val="yellow"/>
        </w:rPr>
        <w:t xml:space="preserve">reflected in </w:t>
      </w:r>
      <w:hyperlink w:anchor="_Emission_reduction_actions" w:history="1">
        <w:r w:rsidR="0008423E" w:rsidRPr="002B1436">
          <w:rPr>
            <w:rStyle w:val="Hyperlink"/>
            <w:highlight w:val="yellow"/>
          </w:rPr>
          <w:t>an avoided emissions figure.</w:t>
        </w:r>
      </w:hyperlink>
      <w:r w:rsidR="00E14C52" w:rsidRPr="002B1436">
        <w:rPr>
          <w:highlight w:val="yellow"/>
        </w:rPr>
        <w:t xml:space="preserve"> </w:t>
      </w:r>
      <w:r w:rsidR="00B023C5" w:rsidRPr="002B1436">
        <w:rPr>
          <w:highlight w:val="yellow"/>
        </w:rPr>
        <w:t xml:space="preserve">This surplus electricity may </w:t>
      </w:r>
      <w:r w:rsidR="0018484E" w:rsidRPr="002B1436">
        <w:rPr>
          <w:highlight w:val="yellow"/>
        </w:rPr>
        <w:t>be generated on-site or off-site at a location where the reporting organisation owns or controls</w:t>
      </w:r>
      <w:r w:rsidRPr="002B1436">
        <w:rPr>
          <w:rStyle w:val="FootnoteReference"/>
          <w:highlight w:val="yellow"/>
        </w:rPr>
        <w:footnoteReference w:id="54"/>
      </w:r>
      <w:r w:rsidR="0018484E" w:rsidRPr="002B1436">
        <w:rPr>
          <w:highlight w:val="yellow"/>
        </w:rPr>
        <w:t xml:space="preserve"> the </w:t>
      </w:r>
      <w:r w:rsidR="00CA71F1" w:rsidRPr="002B1436">
        <w:rPr>
          <w:highlight w:val="yellow"/>
        </w:rPr>
        <w:t xml:space="preserve">renewable electricity generating equipment. </w:t>
      </w:r>
      <w:r w:rsidR="006A3FC3" w:rsidRPr="002B1436">
        <w:rPr>
          <w:highlight w:val="yellow"/>
        </w:rPr>
        <w:t>T</w:t>
      </w:r>
      <w:r w:rsidR="00DB51AD" w:rsidRPr="002B1436">
        <w:rPr>
          <w:highlight w:val="yellow"/>
        </w:rPr>
        <w:t xml:space="preserve">he </w:t>
      </w:r>
      <w:r w:rsidRPr="002B1436">
        <w:rPr>
          <w:highlight w:val="yellow"/>
        </w:rPr>
        <w:t xml:space="preserve">exported </w:t>
      </w:r>
      <w:r w:rsidR="00DB51AD" w:rsidRPr="002B1436">
        <w:rPr>
          <w:highlight w:val="yellow"/>
        </w:rPr>
        <w:t xml:space="preserve">electricity </w:t>
      </w:r>
      <w:r w:rsidR="006A3FC3" w:rsidRPr="002B1436">
        <w:rPr>
          <w:highlight w:val="yellow"/>
        </w:rPr>
        <w:t>must be</w:t>
      </w:r>
      <w:r w:rsidRPr="002B1436">
        <w:rPr>
          <w:highlight w:val="yellow"/>
        </w:rPr>
        <w:t xml:space="preserve"> certified </w:t>
      </w:r>
      <w:r w:rsidR="00EA0177" w:rsidRPr="002B1436">
        <w:rPr>
          <w:highlight w:val="yellow"/>
        </w:rPr>
        <w:t>with</w:t>
      </w:r>
      <w:r w:rsidR="00A1711F" w:rsidRPr="002B1436">
        <w:rPr>
          <w:highlight w:val="yellow"/>
        </w:rPr>
        <w:t xml:space="preserve"> </w:t>
      </w:r>
      <w:r w:rsidR="007F4FDA" w:rsidRPr="002B1436">
        <w:rPr>
          <w:highlight w:val="yellow"/>
        </w:rPr>
        <w:t>R</w:t>
      </w:r>
      <w:r w:rsidR="00023DF9" w:rsidRPr="002B1436">
        <w:rPr>
          <w:highlight w:val="yellow"/>
        </w:rPr>
        <w:t>EGO</w:t>
      </w:r>
      <w:r w:rsidR="00151A25" w:rsidRPr="002B1436">
        <w:rPr>
          <w:highlight w:val="yellow"/>
        </w:rPr>
        <w:t xml:space="preserve"> in order to convey emission rate claims</w:t>
      </w:r>
      <w:r w:rsidR="006A3FC3" w:rsidRPr="002B1436">
        <w:rPr>
          <w:highlight w:val="yellow"/>
        </w:rPr>
        <w:t>.</w:t>
      </w:r>
      <w:r w:rsidR="009C72E8" w:rsidRPr="002B1436">
        <w:rPr>
          <w:highlight w:val="yellow"/>
        </w:rPr>
        <w:t xml:space="preserve"> </w:t>
      </w:r>
    </w:p>
    <w:p w:rsidR="003E726B" w:rsidRPr="002B1436" w:rsidRDefault="00151A25" w:rsidP="002B1436">
      <w:pPr>
        <w:pStyle w:val="ListParagraph"/>
        <w:numPr>
          <w:ilvl w:val="1"/>
          <w:numId w:val="76"/>
        </w:numPr>
        <w:autoSpaceDE w:val="0"/>
        <w:autoSpaceDN w:val="0"/>
        <w:adjustRightInd w:val="0"/>
        <w:spacing w:before="0" w:after="0" w:line="240" w:lineRule="auto"/>
        <w:rPr>
          <w:highlight w:val="yellow"/>
        </w:rPr>
      </w:pPr>
      <w:r w:rsidRPr="002B1436">
        <w:rPr>
          <w:highlight w:val="yellow"/>
        </w:rPr>
        <w:t xml:space="preserve">To </w:t>
      </w:r>
      <w:r w:rsidR="002F42F6" w:rsidRPr="002B1436">
        <w:rPr>
          <w:highlight w:val="yellow"/>
        </w:rPr>
        <w:t xml:space="preserve">estimate </w:t>
      </w:r>
      <w:r w:rsidRPr="002B1436">
        <w:rPr>
          <w:highlight w:val="yellow"/>
        </w:rPr>
        <w:t xml:space="preserve"> these avoided emissions</w:t>
      </w:r>
      <w:r w:rsidR="00AC5B63" w:rsidRPr="002B1436">
        <w:rPr>
          <w:highlight w:val="yellow"/>
        </w:rPr>
        <w:t>,</w:t>
      </w:r>
    </w:p>
    <w:p w:rsidR="00AC5B63" w:rsidRPr="002B1436" w:rsidRDefault="003E726B" w:rsidP="002B1436">
      <w:pPr>
        <w:pStyle w:val="ListParagraph"/>
        <w:numPr>
          <w:ilvl w:val="2"/>
          <w:numId w:val="76"/>
        </w:numPr>
        <w:autoSpaceDE w:val="0"/>
        <w:autoSpaceDN w:val="0"/>
        <w:adjustRightInd w:val="0"/>
        <w:spacing w:before="0" w:after="0" w:line="240" w:lineRule="auto"/>
        <w:rPr>
          <w:highlight w:val="yellow"/>
        </w:rPr>
      </w:pPr>
      <w:r w:rsidRPr="002B1436">
        <w:rPr>
          <w:highlight w:val="yellow"/>
        </w:rPr>
        <w:t xml:space="preserve">For REGOs from sources such as wind and solar that do not produce any emissions during generation: </w:t>
      </w:r>
      <w:r w:rsidR="00AC5B63" w:rsidRPr="002B1436">
        <w:rPr>
          <w:highlight w:val="yellow"/>
        </w:rPr>
        <w:t xml:space="preserve"> </w:t>
      </w:r>
      <w:proofErr w:type="gramStart"/>
      <w:r w:rsidR="00AC5B63" w:rsidRPr="002B1436">
        <w:rPr>
          <w:highlight w:val="yellow"/>
        </w:rPr>
        <w:t xml:space="preserve">multiply </w:t>
      </w:r>
      <w:r w:rsidR="00F6531D" w:rsidRPr="002B1436">
        <w:rPr>
          <w:highlight w:val="yellow"/>
        </w:rPr>
        <w:t xml:space="preserve"> </w:t>
      </w:r>
      <w:r w:rsidR="00C358C9" w:rsidRPr="002B1436">
        <w:rPr>
          <w:highlight w:val="yellow"/>
        </w:rPr>
        <w:t>the</w:t>
      </w:r>
      <w:proofErr w:type="gramEnd"/>
      <w:r w:rsidR="00C358C9" w:rsidRPr="002B1436">
        <w:rPr>
          <w:highlight w:val="yellow"/>
        </w:rPr>
        <w:t xml:space="preserve"> exported </w:t>
      </w:r>
      <w:proofErr w:type="spellStart"/>
      <w:r w:rsidR="00C358C9" w:rsidRPr="002B1436">
        <w:rPr>
          <w:highlight w:val="yellow"/>
        </w:rPr>
        <w:t>MWh</w:t>
      </w:r>
      <w:proofErr w:type="spellEnd"/>
      <w:r w:rsidR="00C358C9" w:rsidRPr="002B1436">
        <w:rPr>
          <w:highlight w:val="yellow"/>
        </w:rPr>
        <w:t xml:space="preserve"> </w:t>
      </w:r>
      <w:r w:rsidR="00F6531D" w:rsidRPr="002B1436">
        <w:rPr>
          <w:highlight w:val="yellow"/>
        </w:rPr>
        <w:t>by the grid</w:t>
      </w:r>
      <w:r w:rsidR="00B23427" w:rsidRPr="002B1436">
        <w:rPr>
          <w:highlight w:val="yellow"/>
        </w:rPr>
        <w:t>-</w:t>
      </w:r>
      <w:r w:rsidR="00F6531D" w:rsidRPr="002B1436">
        <w:rPr>
          <w:highlight w:val="yellow"/>
        </w:rPr>
        <w:t>average</w:t>
      </w:r>
      <w:r w:rsidR="00AC5B63" w:rsidRPr="002B1436">
        <w:rPr>
          <w:highlight w:val="yellow"/>
        </w:rPr>
        <w:t xml:space="preserve"> emission</w:t>
      </w:r>
      <w:r w:rsidR="00B23427" w:rsidRPr="002B1436">
        <w:rPr>
          <w:highlight w:val="yellow"/>
        </w:rPr>
        <w:t>s</w:t>
      </w:r>
      <w:r w:rsidR="00AC5B63" w:rsidRPr="002B1436">
        <w:rPr>
          <w:highlight w:val="yellow"/>
        </w:rPr>
        <w:t xml:space="preserve"> factor. </w:t>
      </w:r>
    </w:p>
    <w:p w:rsidR="003E726B" w:rsidRPr="002B1436" w:rsidRDefault="003E726B" w:rsidP="002B1436">
      <w:pPr>
        <w:pStyle w:val="ListParagraph"/>
        <w:numPr>
          <w:ilvl w:val="2"/>
          <w:numId w:val="76"/>
        </w:numPr>
        <w:autoSpaceDE w:val="0"/>
        <w:autoSpaceDN w:val="0"/>
        <w:adjustRightInd w:val="0"/>
        <w:spacing w:before="0" w:after="0" w:line="240" w:lineRule="auto"/>
        <w:rPr>
          <w:rFonts w:cs="Arial"/>
          <w:szCs w:val="16"/>
          <w:highlight w:val="yellow"/>
          <w:lang w:eastAsia="en-GB"/>
        </w:rPr>
      </w:pPr>
      <w:r w:rsidRPr="002B1436">
        <w:rPr>
          <w:highlight w:val="yellow"/>
        </w:rPr>
        <w:t xml:space="preserve">For REGOs </w:t>
      </w:r>
      <w:r w:rsidR="008B6251" w:rsidRPr="002B1436">
        <w:rPr>
          <w:highlight w:val="yellow"/>
        </w:rPr>
        <w:t>from burning of biogenic material</w:t>
      </w:r>
      <w:r w:rsidRPr="002B1436">
        <w:rPr>
          <w:highlight w:val="yellow"/>
        </w:rPr>
        <w:t>: the CO</w:t>
      </w:r>
      <w:r w:rsidRPr="002B1436">
        <w:rPr>
          <w:highlight w:val="yellow"/>
          <w:vertAlign w:val="subscript"/>
        </w:rPr>
        <w:t>2</w:t>
      </w:r>
      <w:r w:rsidRPr="002B1436">
        <w:rPr>
          <w:highlight w:val="yellow"/>
        </w:rPr>
        <w:t xml:space="preserve"> generated during combustion is biological in origin and so would be logged under biogenic emissions, not Scope 2. </w:t>
      </w:r>
      <w:r w:rsidR="00604F20" w:rsidRPr="002B1436">
        <w:rPr>
          <w:highlight w:val="yellow"/>
        </w:rPr>
        <w:t>Information would need to be sought from the generators about the amou</w:t>
      </w:r>
      <w:r w:rsidR="008B6251" w:rsidRPr="002B1436">
        <w:rPr>
          <w:highlight w:val="yellow"/>
        </w:rPr>
        <w:t>n</w:t>
      </w:r>
      <w:r w:rsidR="00604F20" w:rsidRPr="002B1436">
        <w:rPr>
          <w:highlight w:val="yellow"/>
        </w:rPr>
        <w:t xml:space="preserve">t of </w:t>
      </w:r>
      <w:r w:rsidRPr="002B1436">
        <w:rPr>
          <w:highlight w:val="yellow"/>
        </w:rPr>
        <w:t>CH</w:t>
      </w:r>
      <w:r w:rsidRPr="002B1436">
        <w:rPr>
          <w:highlight w:val="yellow"/>
          <w:vertAlign w:val="subscript"/>
        </w:rPr>
        <w:t>4</w:t>
      </w:r>
      <w:r w:rsidRPr="002B1436">
        <w:rPr>
          <w:highlight w:val="yellow"/>
        </w:rPr>
        <w:t xml:space="preserve"> and N</w:t>
      </w:r>
      <w:r w:rsidRPr="002B1436">
        <w:rPr>
          <w:highlight w:val="yellow"/>
          <w:vertAlign w:val="subscript"/>
        </w:rPr>
        <w:t>2</w:t>
      </w:r>
      <w:r w:rsidRPr="002B1436">
        <w:rPr>
          <w:highlight w:val="yellow"/>
        </w:rPr>
        <w:t>O</w:t>
      </w:r>
      <w:r w:rsidR="00604F20" w:rsidRPr="002B1436">
        <w:rPr>
          <w:highlight w:val="yellow"/>
        </w:rPr>
        <w:t xml:space="preserve"> emitted during combustion. The calculation would be:</w:t>
      </w:r>
      <w:r w:rsidR="006E7AEA" w:rsidRPr="002B1436">
        <w:rPr>
          <w:highlight w:val="yellow"/>
        </w:rPr>
        <w:t xml:space="preserve"> </w:t>
      </w:r>
      <w:r w:rsidR="006D3B2A" w:rsidRPr="002B1436">
        <w:rPr>
          <w:highlight w:val="yellow"/>
        </w:rPr>
        <w:t>e</w:t>
      </w:r>
      <w:r w:rsidR="00604F20" w:rsidRPr="002B1436">
        <w:rPr>
          <w:highlight w:val="yellow"/>
        </w:rPr>
        <w:t xml:space="preserve">xported </w:t>
      </w:r>
      <w:proofErr w:type="spellStart"/>
      <w:r w:rsidR="00604F20" w:rsidRPr="002B1436">
        <w:rPr>
          <w:highlight w:val="yellow"/>
        </w:rPr>
        <w:t>MWh</w:t>
      </w:r>
      <w:proofErr w:type="spellEnd"/>
      <w:r w:rsidR="00604F20" w:rsidRPr="002B1436">
        <w:rPr>
          <w:highlight w:val="yellow"/>
        </w:rPr>
        <w:t xml:space="preserve"> </w:t>
      </w:r>
      <w:r w:rsidR="006D3B2A" w:rsidRPr="002B1436">
        <w:rPr>
          <w:highlight w:val="yellow"/>
        </w:rPr>
        <w:t>multiplied by</w:t>
      </w:r>
      <w:r w:rsidR="00604F20" w:rsidRPr="002B1436">
        <w:rPr>
          <w:highlight w:val="yellow"/>
        </w:rPr>
        <w:t xml:space="preserve"> grid average emission factor</w:t>
      </w:r>
      <w:r w:rsidR="006D3B2A" w:rsidRPr="002B1436">
        <w:rPr>
          <w:highlight w:val="yellow"/>
        </w:rPr>
        <w:t xml:space="preserve"> multiplied by </w:t>
      </w:r>
      <w:r w:rsidR="00604F20" w:rsidRPr="002B1436">
        <w:rPr>
          <w:highlight w:val="yellow"/>
        </w:rPr>
        <w:t>combustion emission factor for CH</w:t>
      </w:r>
      <w:r w:rsidR="00604F20" w:rsidRPr="002B1436">
        <w:rPr>
          <w:highlight w:val="yellow"/>
          <w:vertAlign w:val="subscript"/>
        </w:rPr>
        <w:t xml:space="preserve">4 </w:t>
      </w:r>
      <w:r w:rsidR="00604F20" w:rsidRPr="002B1436">
        <w:rPr>
          <w:highlight w:val="yellow"/>
        </w:rPr>
        <w:t>and N</w:t>
      </w:r>
      <w:r w:rsidR="00604F20" w:rsidRPr="002B1436">
        <w:rPr>
          <w:highlight w:val="yellow"/>
          <w:vertAlign w:val="subscript"/>
        </w:rPr>
        <w:t>2</w:t>
      </w:r>
      <w:r w:rsidR="00604F20" w:rsidRPr="002B1436">
        <w:rPr>
          <w:highlight w:val="yellow"/>
        </w:rPr>
        <w:t>O</w:t>
      </w:r>
      <w:r w:rsidR="006D3B2A" w:rsidRPr="002B1436">
        <w:rPr>
          <w:highlight w:val="yellow"/>
        </w:rPr>
        <w:t>.</w:t>
      </w:r>
    </w:p>
    <w:p w:rsidR="00151A25" w:rsidRPr="002B1436" w:rsidRDefault="00AC5B63" w:rsidP="00072638">
      <w:pPr>
        <w:numPr>
          <w:ilvl w:val="1"/>
          <w:numId w:val="76"/>
        </w:numPr>
        <w:autoSpaceDE w:val="0"/>
        <w:autoSpaceDN w:val="0"/>
        <w:adjustRightInd w:val="0"/>
        <w:spacing w:before="0" w:after="0" w:line="240" w:lineRule="auto"/>
        <w:ind w:left="1418"/>
        <w:rPr>
          <w:rFonts w:cs="Arial"/>
          <w:szCs w:val="16"/>
          <w:highlight w:val="yellow"/>
          <w:lang w:eastAsia="en-GB"/>
        </w:rPr>
      </w:pPr>
      <w:r w:rsidRPr="002B1436">
        <w:rPr>
          <w:highlight w:val="yellow"/>
        </w:rPr>
        <w:t xml:space="preserve">This figure may be reported as an avoided emission </w:t>
      </w:r>
      <w:r w:rsidR="00C96735" w:rsidRPr="002B1436">
        <w:rPr>
          <w:highlight w:val="yellow"/>
        </w:rPr>
        <w:t>figure or deducted from a</w:t>
      </w:r>
      <w:r w:rsidRPr="002B1436">
        <w:rPr>
          <w:highlight w:val="yellow"/>
        </w:rPr>
        <w:t xml:space="preserve"> </w:t>
      </w:r>
      <w:r w:rsidRPr="002B1436">
        <w:rPr>
          <w:i/>
          <w:highlight w:val="yellow"/>
        </w:rPr>
        <w:t>gross</w:t>
      </w:r>
      <w:r w:rsidRPr="002B1436">
        <w:rPr>
          <w:highlight w:val="yellow"/>
        </w:rPr>
        <w:t xml:space="preserve"> Scope 2 figure </w:t>
      </w:r>
      <w:r w:rsidR="0080557F" w:rsidRPr="002B1436">
        <w:rPr>
          <w:highlight w:val="yellow"/>
        </w:rPr>
        <w:t>in calculating</w:t>
      </w:r>
      <w:r w:rsidR="00B23427" w:rsidRPr="002B1436">
        <w:rPr>
          <w:highlight w:val="yellow"/>
        </w:rPr>
        <w:t xml:space="preserve"> any</w:t>
      </w:r>
      <w:r w:rsidRPr="002B1436">
        <w:rPr>
          <w:highlight w:val="yellow"/>
        </w:rPr>
        <w:t xml:space="preserve"> </w:t>
      </w:r>
      <w:r w:rsidRPr="002B1436">
        <w:rPr>
          <w:i/>
          <w:highlight w:val="yellow"/>
        </w:rPr>
        <w:t xml:space="preserve">net </w:t>
      </w:r>
      <w:r w:rsidRPr="002B1436">
        <w:rPr>
          <w:highlight w:val="yellow"/>
        </w:rPr>
        <w:t>emissions figure</w:t>
      </w:r>
      <w:r w:rsidR="003A292A" w:rsidRPr="002B1436">
        <w:rPr>
          <w:highlight w:val="yellow"/>
        </w:rPr>
        <w:t xml:space="preserve"> reported</w:t>
      </w:r>
      <w:r w:rsidRPr="002B1436">
        <w:rPr>
          <w:highlight w:val="yellow"/>
        </w:rPr>
        <w:t xml:space="preserve">. </w:t>
      </w:r>
    </w:p>
    <w:p w:rsidR="006F7789" w:rsidRPr="002B1436" w:rsidRDefault="00464802" w:rsidP="002B1436">
      <w:pPr>
        <w:numPr>
          <w:ilvl w:val="1"/>
          <w:numId w:val="76"/>
        </w:numPr>
        <w:autoSpaceDE w:val="0"/>
        <w:autoSpaceDN w:val="0"/>
        <w:adjustRightInd w:val="0"/>
        <w:spacing w:before="0" w:after="0" w:line="240" w:lineRule="auto"/>
        <w:ind w:left="1418" w:hanging="338"/>
        <w:rPr>
          <w:highlight w:val="yellow"/>
        </w:rPr>
      </w:pPr>
      <w:r w:rsidRPr="002B1436">
        <w:rPr>
          <w:highlight w:val="yellow"/>
        </w:rPr>
        <w:t xml:space="preserve">The number of </w:t>
      </w:r>
      <w:proofErr w:type="spellStart"/>
      <w:r w:rsidRPr="002B1436">
        <w:rPr>
          <w:highlight w:val="yellow"/>
        </w:rPr>
        <w:t>MWh</w:t>
      </w:r>
      <w:proofErr w:type="spellEnd"/>
      <w:r w:rsidRPr="002B1436">
        <w:rPr>
          <w:highlight w:val="yellow"/>
        </w:rPr>
        <w:t xml:space="preserve"> used for the calculation must not be greater than the number of </w:t>
      </w:r>
      <w:proofErr w:type="spellStart"/>
      <w:r w:rsidRPr="002B1436">
        <w:rPr>
          <w:highlight w:val="yellow"/>
        </w:rPr>
        <w:t>MWh</w:t>
      </w:r>
      <w:proofErr w:type="spellEnd"/>
      <w:r w:rsidRPr="002B1436">
        <w:rPr>
          <w:highlight w:val="yellow"/>
        </w:rPr>
        <w:t xml:space="preserve"> purchased for own consumption to </w:t>
      </w:r>
      <w:r w:rsidR="00895D71" w:rsidRPr="002B1436">
        <w:rPr>
          <w:highlight w:val="yellow"/>
        </w:rPr>
        <w:t xml:space="preserve">reduce the likelihood of </w:t>
      </w:r>
      <w:r w:rsidRPr="002B1436">
        <w:rPr>
          <w:highlight w:val="yellow"/>
        </w:rPr>
        <w:t xml:space="preserve">a negative net Scope 2 figure. However, this may happen </w:t>
      </w:r>
      <w:r w:rsidR="00895D71" w:rsidRPr="002B1436">
        <w:rPr>
          <w:highlight w:val="yellow"/>
        </w:rPr>
        <w:t xml:space="preserve">nonetheless </w:t>
      </w:r>
      <w:r w:rsidRPr="002B1436">
        <w:rPr>
          <w:highlight w:val="yellow"/>
        </w:rPr>
        <w:t>if an organisation chooses to deduct avoided emissions from the market-based Scope 2 figure</w:t>
      </w:r>
      <w:r w:rsidR="0076546E" w:rsidRPr="002B1436">
        <w:rPr>
          <w:highlight w:val="yellow"/>
        </w:rPr>
        <w:t xml:space="preserve"> when calculating the </w:t>
      </w:r>
      <w:r w:rsidR="0076546E" w:rsidRPr="002B1436">
        <w:rPr>
          <w:i/>
          <w:highlight w:val="yellow"/>
        </w:rPr>
        <w:t>net</w:t>
      </w:r>
      <w:r w:rsidR="0076546E" w:rsidRPr="002B1436">
        <w:rPr>
          <w:highlight w:val="yellow"/>
        </w:rPr>
        <w:t xml:space="preserve"> emissions figure</w:t>
      </w:r>
      <w:r w:rsidR="006D3B2A" w:rsidRPr="002B1436">
        <w:rPr>
          <w:highlight w:val="yellow"/>
        </w:rPr>
        <w:t>.</w:t>
      </w:r>
      <w:r w:rsidRPr="002B1436">
        <w:rPr>
          <w:highlight w:val="yellow"/>
        </w:rPr>
        <w:t xml:space="preserve"> </w:t>
      </w:r>
      <w:proofErr w:type="gramStart"/>
      <w:r w:rsidR="00604F20" w:rsidRPr="002B1436">
        <w:rPr>
          <w:highlight w:val="yellow"/>
        </w:rPr>
        <w:t xml:space="preserve">Any </w:t>
      </w:r>
      <w:r w:rsidRPr="002B1436">
        <w:rPr>
          <w:highlight w:val="yellow"/>
        </w:rPr>
        <w:t xml:space="preserve"> negative</w:t>
      </w:r>
      <w:proofErr w:type="gramEnd"/>
      <w:r w:rsidRPr="002B1436">
        <w:rPr>
          <w:highlight w:val="yellow"/>
        </w:rPr>
        <w:t xml:space="preserve"> figures should be reported as 0 tonnes CO</w:t>
      </w:r>
      <w:r w:rsidRPr="002B1436">
        <w:rPr>
          <w:highlight w:val="yellow"/>
          <w:vertAlign w:val="subscript"/>
        </w:rPr>
        <w:t>2</w:t>
      </w:r>
      <w:r w:rsidRPr="002B1436">
        <w:rPr>
          <w:highlight w:val="yellow"/>
        </w:rPr>
        <w:t>e.</w:t>
      </w:r>
    </w:p>
    <w:p w:rsidR="005C01B6" w:rsidRPr="002B1436" w:rsidRDefault="005C01B6" w:rsidP="00D25939">
      <w:pPr>
        <w:autoSpaceDE w:val="0"/>
        <w:autoSpaceDN w:val="0"/>
        <w:adjustRightInd w:val="0"/>
        <w:spacing w:before="0" w:after="0" w:line="240" w:lineRule="auto"/>
        <w:rPr>
          <w:rFonts w:cs="Arial"/>
          <w:szCs w:val="16"/>
          <w:highlight w:val="yellow"/>
          <w:lang w:eastAsia="en-GB"/>
        </w:rPr>
      </w:pPr>
    </w:p>
    <w:p w:rsidR="00324B00" w:rsidRPr="002B1436" w:rsidRDefault="00CA71F1" w:rsidP="00E667AC">
      <w:pPr>
        <w:autoSpaceDE w:val="0"/>
        <w:autoSpaceDN w:val="0"/>
        <w:adjustRightInd w:val="0"/>
        <w:spacing w:before="0" w:after="0" w:line="240" w:lineRule="auto"/>
        <w:rPr>
          <w:highlight w:val="yellow"/>
        </w:rPr>
      </w:pPr>
      <w:r w:rsidRPr="002B1436">
        <w:rPr>
          <w:highlight w:val="yellow"/>
        </w:rPr>
        <w:t xml:space="preserve">In the case of an off-site generation facility, the organisational boundary selected by the reporting organisation must be applied to the off-site facility. The same rules used to allocate emissions should be applied to allocating the emissions </w:t>
      </w:r>
      <w:r w:rsidR="00151A25" w:rsidRPr="002B1436">
        <w:rPr>
          <w:highlight w:val="yellow"/>
        </w:rPr>
        <w:t>attribute:</w:t>
      </w:r>
      <w:r w:rsidRPr="002B1436">
        <w:rPr>
          <w:highlight w:val="yellow"/>
        </w:rPr>
        <w:t xml:space="preserve"> i.e.</w:t>
      </w:r>
      <w:r w:rsidR="00151A25" w:rsidRPr="002B1436">
        <w:rPr>
          <w:highlight w:val="yellow"/>
        </w:rPr>
        <w:t>,</w:t>
      </w:r>
      <w:r w:rsidRPr="002B1436">
        <w:rPr>
          <w:highlight w:val="yellow"/>
        </w:rPr>
        <w:t xml:space="preserve"> if a reporting organisation has chosen the equity share boundary, then the emissions are allocated according to the </w:t>
      </w:r>
      <w:r w:rsidR="00324B00" w:rsidRPr="002B1436">
        <w:rPr>
          <w:highlight w:val="yellow"/>
        </w:rPr>
        <w:t>equity share</w:t>
      </w:r>
      <w:r w:rsidR="005C01B6" w:rsidRPr="002B1436">
        <w:rPr>
          <w:highlight w:val="yellow"/>
        </w:rPr>
        <w:t xml:space="preserve"> and</w:t>
      </w:r>
      <w:r w:rsidR="00324B00" w:rsidRPr="002B1436">
        <w:rPr>
          <w:highlight w:val="yellow"/>
        </w:rPr>
        <w:t xml:space="preserve"> the emission</w:t>
      </w:r>
      <w:r w:rsidR="00151A25" w:rsidRPr="002B1436">
        <w:rPr>
          <w:highlight w:val="yellow"/>
        </w:rPr>
        <w:t>s attributes</w:t>
      </w:r>
      <w:r w:rsidRPr="002B1436">
        <w:rPr>
          <w:highlight w:val="yellow"/>
        </w:rPr>
        <w:t xml:space="preserve"> </w:t>
      </w:r>
      <w:r w:rsidR="00324B00" w:rsidRPr="002B1436">
        <w:rPr>
          <w:highlight w:val="yellow"/>
        </w:rPr>
        <w:t xml:space="preserve">of the exported electricity </w:t>
      </w:r>
      <w:r w:rsidRPr="002B1436">
        <w:rPr>
          <w:highlight w:val="yellow"/>
        </w:rPr>
        <w:t>are allocated according to the equity share</w:t>
      </w:r>
      <w:r w:rsidR="00324B00" w:rsidRPr="002B1436">
        <w:rPr>
          <w:highlight w:val="yellow"/>
        </w:rPr>
        <w:t xml:space="preserve"> too</w:t>
      </w:r>
      <w:r w:rsidRPr="002B1436">
        <w:rPr>
          <w:highlight w:val="yellow"/>
        </w:rPr>
        <w:t>.</w:t>
      </w:r>
      <w:r w:rsidR="00324B00" w:rsidRPr="002B1436">
        <w:rPr>
          <w:highlight w:val="yellow"/>
        </w:rPr>
        <w:t xml:space="preserve"> </w:t>
      </w:r>
    </w:p>
    <w:p w:rsidR="005C01B6" w:rsidRPr="002B1436" w:rsidRDefault="005C01B6" w:rsidP="00E667AC">
      <w:pPr>
        <w:autoSpaceDE w:val="0"/>
        <w:autoSpaceDN w:val="0"/>
        <w:adjustRightInd w:val="0"/>
        <w:spacing w:before="0" w:after="0" w:line="240" w:lineRule="auto"/>
        <w:rPr>
          <w:highlight w:val="yellow"/>
        </w:rPr>
      </w:pPr>
    </w:p>
    <w:p w:rsidR="00A67B12" w:rsidRDefault="00A67B12" w:rsidP="00E667AC">
      <w:pPr>
        <w:autoSpaceDE w:val="0"/>
        <w:autoSpaceDN w:val="0"/>
        <w:adjustRightInd w:val="0"/>
        <w:spacing w:before="0" w:after="0" w:line="240" w:lineRule="auto"/>
      </w:pPr>
      <w:r w:rsidRPr="002B1436">
        <w:rPr>
          <w:highlight w:val="yellow"/>
        </w:rPr>
        <w:t>Th</w:t>
      </w:r>
      <w:r w:rsidR="003935ED" w:rsidRPr="002B1436">
        <w:rPr>
          <w:highlight w:val="yellow"/>
        </w:rPr>
        <w:t>e</w:t>
      </w:r>
      <w:r w:rsidRPr="002B1436">
        <w:rPr>
          <w:highlight w:val="yellow"/>
        </w:rPr>
        <w:t xml:space="preserve"> approach </w:t>
      </w:r>
      <w:r w:rsidR="00E14C52" w:rsidRPr="002B1436">
        <w:rPr>
          <w:highlight w:val="yellow"/>
        </w:rPr>
        <w:t>above is specified for</w:t>
      </w:r>
      <w:r w:rsidRPr="002B1436">
        <w:rPr>
          <w:highlight w:val="yellow"/>
        </w:rPr>
        <w:t xml:space="preserve"> UK </w:t>
      </w:r>
      <w:r w:rsidR="00E14C52" w:rsidRPr="002B1436">
        <w:rPr>
          <w:highlight w:val="yellow"/>
        </w:rPr>
        <w:t xml:space="preserve">operations. Organisations with operations in other countries should follow the </w:t>
      </w:r>
      <w:r w:rsidRPr="002B1436">
        <w:rPr>
          <w:highlight w:val="yellow"/>
        </w:rPr>
        <w:t>instructions given by overseas authorities that will be able to take in</w:t>
      </w:r>
      <w:r w:rsidR="00B023C5" w:rsidRPr="002B1436">
        <w:rPr>
          <w:highlight w:val="yellow"/>
        </w:rPr>
        <w:t>to account local circumstances.</w:t>
      </w:r>
      <w:r w:rsidR="00792C01">
        <w:t xml:space="preserve"> </w:t>
      </w:r>
    </w:p>
    <w:p w:rsidR="003B1BB6" w:rsidRDefault="003B1BB6" w:rsidP="00324B00">
      <w:pPr>
        <w:autoSpaceDE w:val="0"/>
        <w:autoSpaceDN w:val="0"/>
        <w:adjustRightInd w:val="0"/>
        <w:spacing w:before="0" w:after="0" w:line="240" w:lineRule="auto"/>
        <w:ind w:left="720"/>
      </w:pPr>
    </w:p>
    <w:p w:rsidR="00D91F2C" w:rsidRPr="00C06B35" w:rsidRDefault="0089440A" w:rsidP="00C06B35">
      <w:pPr>
        <w:pStyle w:val="Heading4"/>
        <w:rPr>
          <w:b w:val="0"/>
        </w:rPr>
      </w:pPr>
      <w:r w:rsidRPr="00C06B35">
        <w:rPr>
          <w:i w:val="0"/>
        </w:rPr>
        <w:lastRenderedPageBreak/>
        <w:t>Combined Heat &amp; Power Guarantees of Origin (CHP-GOs)</w:t>
      </w:r>
    </w:p>
    <w:p w:rsidR="00DB51AD" w:rsidRPr="00DB51AD" w:rsidRDefault="00F6531D" w:rsidP="00747F53">
      <w:r>
        <w:t>CHP-GO</w:t>
      </w:r>
      <w:r w:rsidR="00D926C6">
        <w:t>s</w:t>
      </w:r>
      <w:r w:rsidR="00C06B35">
        <w:t xml:space="preserve">, </w:t>
      </w:r>
      <w:r w:rsidR="00D926C6">
        <w:t>certificate</w:t>
      </w:r>
      <w:r w:rsidR="00C06B35">
        <w:t>s issued on request to CHP operators as required by EU Directives 2004/8/EC and 2012/27/EU</w:t>
      </w:r>
      <w:r>
        <w:t xml:space="preserve"> </w:t>
      </w:r>
      <w:r w:rsidR="003935ED">
        <w:t xml:space="preserve">could, </w:t>
      </w:r>
      <w:r w:rsidR="00A44996">
        <w:t>in theory</w:t>
      </w:r>
      <w:r w:rsidR="003935ED">
        <w:t>,</w:t>
      </w:r>
      <w:r>
        <w:t xml:space="preserve"> </w:t>
      </w:r>
      <w:r w:rsidR="00D926C6">
        <w:t xml:space="preserve">be used in the same way as </w:t>
      </w:r>
      <w:r w:rsidR="00023DF9">
        <w:t>REGOs</w:t>
      </w:r>
      <w:r w:rsidR="003935ED">
        <w:t>,</w:t>
      </w:r>
      <w:r w:rsidR="0005508E">
        <w:t xml:space="preserve"> providing that double-counting of  emissions benefits</w:t>
      </w:r>
      <w:r w:rsidR="00416B17">
        <w:t xml:space="preserve"> is avoided</w:t>
      </w:r>
      <w:r w:rsidR="0005508E">
        <w:t>.</w:t>
      </w:r>
      <w:r w:rsidR="00D926C6">
        <w:t xml:space="preserve"> </w:t>
      </w:r>
      <w:r w:rsidR="00A44996">
        <w:t>However,</w:t>
      </w:r>
      <w:r w:rsidR="003B1BB6">
        <w:t xml:space="preserve"> </w:t>
      </w:r>
      <w:r w:rsidR="00C06B35">
        <w:rPr>
          <w:szCs w:val="24"/>
        </w:rPr>
        <w:t>a</w:t>
      </w:r>
      <w:r w:rsidR="00A44996" w:rsidRPr="003B1BB6">
        <w:rPr>
          <w:szCs w:val="24"/>
        </w:rPr>
        <w:t>t</w:t>
      </w:r>
      <w:r w:rsidR="003935ED">
        <w:rPr>
          <w:szCs w:val="24"/>
        </w:rPr>
        <w:t xml:space="preserve"> the</w:t>
      </w:r>
      <w:r w:rsidR="00A44996" w:rsidRPr="003B1BB6">
        <w:rPr>
          <w:szCs w:val="24"/>
        </w:rPr>
        <w:t xml:space="preserve"> </w:t>
      </w:r>
      <w:r w:rsidR="00D926C6" w:rsidRPr="003B1BB6">
        <w:rPr>
          <w:szCs w:val="24"/>
        </w:rPr>
        <w:t xml:space="preserve">time of writing, no CHP-GOs have been issued in the UK. </w:t>
      </w:r>
    </w:p>
    <w:p w:rsidR="00B507D9" w:rsidRPr="00B507D9" w:rsidRDefault="00B507D9" w:rsidP="00B507D9">
      <w:pPr>
        <w:rPr>
          <w:b/>
          <w:bCs/>
        </w:rPr>
      </w:pPr>
      <w:r w:rsidRPr="00B507D9">
        <w:rPr>
          <w:b/>
          <w:bCs/>
        </w:rPr>
        <w:t>Demand-Side Response (DSR)</w:t>
      </w:r>
    </w:p>
    <w:p w:rsidR="00B023C5" w:rsidRPr="00461437" w:rsidRDefault="00B507D9" w:rsidP="00461437">
      <w:r w:rsidRPr="00B507D9">
        <w:t>Some organisations are contracted by the grid operator</w:t>
      </w:r>
      <w:r w:rsidR="00E735E9">
        <w:t xml:space="preserve"> or other parties</w:t>
      </w:r>
      <w:r w:rsidRPr="00B507D9">
        <w:t xml:space="preserve"> to </w:t>
      </w:r>
      <w:r w:rsidR="00617B61">
        <w:t>reduce or shift</w:t>
      </w:r>
      <w:r w:rsidRPr="00B507D9">
        <w:t xml:space="preserve"> their electricity consumption at times of high demand. This can</w:t>
      </w:r>
      <w:r w:rsidR="008168CA">
        <w:t xml:space="preserve"> reduce the need to part-load generators to provide flexibility,</w:t>
      </w:r>
      <w:r w:rsidRPr="00B507D9">
        <w:t xml:space="preserve"> remove the need to dispatch an additional fossil fuelled power plant</w:t>
      </w:r>
      <w:r w:rsidR="008168CA">
        <w:t xml:space="preserve"> at times of peak demand</w:t>
      </w:r>
      <w:r w:rsidR="00617B61">
        <w:t>, and reduce losses by reducing loading on network kit</w:t>
      </w:r>
      <w:r w:rsidRPr="00B507D9">
        <w:t>. However, there may be other consequences such as using diesel generators instead, re-scheduling activities to another period which then becomes a peak of demand</w:t>
      </w:r>
      <w:r w:rsidR="008168CA">
        <w:t xml:space="preserve"> thus increasing grid average emissions at those times</w:t>
      </w:r>
      <w:r w:rsidRPr="00B507D9">
        <w:t>.</w:t>
      </w:r>
      <w:r w:rsidR="00DA7FD6">
        <w:t xml:space="preserve"> Further, the carbon benefit depends on the fuel mix at the time</w:t>
      </w:r>
      <w:r w:rsidR="00E07BB3">
        <w:t xml:space="preserve"> of the provision of DSR.</w:t>
      </w:r>
      <w:r w:rsidRPr="00B507D9">
        <w:t xml:space="preserve"> </w:t>
      </w:r>
      <w:r w:rsidRPr="002B1436">
        <w:rPr>
          <w:highlight w:val="yellow"/>
        </w:rPr>
        <w:t>Organisations are therefore permitted to account for DSR in their net emission figures, but they should use a methodology that has been approved by independent experts</w:t>
      </w:r>
      <w:r w:rsidR="00745906" w:rsidRPr="002B1436">
        <w:rPr>
          <w:rStyle w:val="FootnoteReference"/>
          <w:highlight w:val="yellow"/>
        </w:rPr>
        <w:footnoteReference w:id="55"/>
      </w:r>
      <w:r w:rsidRPr="002B1436">
        <w:rPr>
          <w:highlight w:val="yellow"/>
        </w:rPr>
        <w:t>. This applies to other types of actions that “avoid” emissions (</w:t>
      </w:r>
      <w:r w:rsidR="006105F6" w:rsidRPr="002B1436">
        <w:rPr>
          <w:highlight w:val="yellow"/>
        </w:rPr>
        <w:t xml:space="preserve">see Chapter 3, </w:t>
      </w:r>
      <w:hyperlink w:anchor="_Emission_reduction_actions" w:history="1">
        <w:r w:rsidR="006105F6" w:rsidRPr="002B1436">
          <w:rPr>
            <w:rStyle w:val="Hyperlink"/>
            <w:highlight w:val="yellow"/>
          </w:rPr>
          <w:t>Emission Reduction Actions</w:t>
        </w:r>
      </w:hyperlink>
      <w:r w:rsidRPr="002B1436">
        <w:rPr>
          <w:highlight w:val="yellow"/>
        </w:rPr>
        <w:t>).</w:t>
      </w:r>
    </w:p>
    <w:p w:rsidR="00913351" w:rsidRPr="00BE3068" w:rsidRDefault="00913351" w:rsidP="00BE3068">
      <w:pPr>
        <w:pStyle w:val="Heading3"/>
        <w:rPr>
          <w:color w:val="76923C"/>
          <w:sz w:val="36"/>
          <w:szCs w:val="36"/>
        </w:rPr>
      </w:pPr>
      <w:bookmarkStart w:id="136" w:name="_Toc343016846"/>
      <w:bookmarkStart w:id="137" w:name="_Toc358302271"/>
      <w:r w:rsidRPr="00BE3068">
        <w:rPr>
          <w:color w:val="76923C"/>
          <w:sz w:val="36"/>
          <w:szCs w:val="36"/>
        </w:rPr>
        <w:t>More on Scope 3</w:t>
      </w:r>
      <w:bookmarkEnd w:id="136"/>
      <w:bookmarkEnd w:id="137"/>
    </w:p>
    <w:p w:rsidR="00913351" w:rsidRPr="006A6CE3" w:rsidRDefault="00913351" w:rsidP="00E204D9">
      <w:pPr>
        <w:rPr>
          <w:rFonts w:cs="Arial"/>
        </w:rPr>
      </w:pPr>
      <w:r w:rsidRPr="006A6CE3">
        <w:rPr>
          <w:rFonts w:cs="Arial"/>
        </w:rPr>
        <w:t xml:space="preserve">You will get a more complete understanding of your organisation’s emissions and potential exposure to climate change risks if you understand your </w:t>
      </w:r>
      <w:r w:rsidR="00685E60">
        <w:rPr>
          <w:rFonts w:cs="Arial"/>
        </w:rPr>
        <w:t>Scope</w:t>
      </w:r>
      <w:r w:rsidRPr="006A6CE3">
        <w:rPr>
          <w:rFonts w:cs="Arial"/>
        </w:rPr>
        <w:t xml:space="preserve"> 3.  Accounting for some </w:t>
      </w:r>
      <w:r w:rsidR="00685E60">
        <w:rPr>
          <w:rFonts w:cs="Arial"/>
        </w:rPr>
        <w:t>Scope</w:t>
      </w:r>
      <w:r w:rsidRPr="006A6CE3">
        <w:rPr>
          <w:rFonts w:cs="Arial"/>
        </w:rPr>
        <w:t xml:space="preserve"> 3 categories can be difficult because the required data lies with other organisations in the value chain. (“Value chain” refers to all activities upstream and downstream of your organization).  As a result, there is a higher degree of estimation in </w:t>
      </w:r>
      <w:r w:rsidR="00685E60">
        <w:rPr>
          <w:rFonts w:cs="Arial"/>
        </w:rPr>
        <w:t>Scope</w:t>
      </w:r>
      <w:r w:rsidRPr="006A6CE3">
        <w:rPr>
          <w:rFonts w:cs="Arial"/>
        </w:rPr>
        <w:t xml:space="preserve"> 3 accounting.  Many organisations start with their </w:t>
      </w:r>
      <w:r w:rsidR="00685E60">
        <w:rPr>
          <w:rFonts w:cs="Arial"/>
        </w:rPr>
        <w:t>Scope</w:t>
      </w:r>
      <w:r w:rsidRPr="006A6CE3">
        <w:rPr>
          <w:rFonts w:cs="Arial"/>
        </w:rPr>
        <w:t xml:space="preserve">s 1 and 2 before progressing to </w:t>
      </w:r>
      <w:r w:rsidR="00685E60">
        <w:rPr>
          <w:rFonts w:cs="Arial"/>
        </w:rPr>
        <w:t>Scope</w:t>
      </w:r>
      <w:r w:rsidRPr="006A6CE3">
        <w:rPr>
          <w:rFonts w:cs="Arial"/>
        </w:rPr>
        <w:t xml:space="preserve"> 3. </w:t>
      </w:r>
    </w:p>
    <w:p w:rsidR="00913351" w:rsidRPr="006A6CE3" w:rsidRDefault="00913351" w:rsidP="00E204D9">
      <w:pPr>
        <w:rPr>
          <w:rFonts w:cs="Arial"/>
        </w:rPr>
      </w:pPr>
      <w:r w:rsidRPr="006A6CE3">
        <w:rPr>
          <w:rFonts w:cs="Arial"/>
        </w:rPr>
        <w:t>You should read the section on upstream and downstream environment impacts. Then follow these steps:</w:t>
      </w:r>
      <w:r w:rsidRPr="006A6CE3">
        <w:rPr>
          <w:rStyle w:val="FootnoteReference"/>
          <w:rFonts w:cs="Arial"/>
        </w:rPr>
        <w:footnoteReference w:id="56"/>
      </w:r>
      <w:r w:rsidRPr="006A6CE3">
        <w:rPr>
          <w:rFonts w:cs="Arial"/>
        </w:rPr>
        <w:t xml:space="preserve"> identify where your organis</w:t>
      </w:r>
      <w:r w:rsidR="002A578C" w:rsidRPr="006A6CE3">
        <w:rPr>
          <w:rFonts w:cs="Arial"/>
        </w:rPr>
        <w:t xml:space="preserve">ation sits in the </w:t>
      </w:r>
      <w:r w:rsidR="002A578C" w:rsidRPr="006A6CE3">
        <w:rPr>
          <w:rFonts w:cs="Arial"/>
        </w:rPr>
        <w:lastRenderedPageBreak/>
        <w:t xml:space="preserve">value chain; </w:t>
      </w:r>
      <w:r w:rsidRPr="006A6CE3">
        <w:rPr>
          <w:rFonts w:cs="Arial"/>
        </w:rPr>
        <w:t>identify relevant and significant sources</w:t>
      </w:r>
      <w:r w:rsidR="009C4F8E" w:rsidRPr="006A6CE3">
        <w:rPr>
          <w:rFonts w:cs="Arial"/>
        </w:rPr>
        <w:t>; determine</w:t>
      </w:r>
      <w:r w:rsidRPr="006A6CE3">
        <w:rPr>
          <w:rFonts w:cs="Arial"/>
        </w:rPr>
        <w:t xml:space="preserve"> the magnitude or size of expected emissions through screening your </w:t>
      </w:r>
      <w:r w:rsidR="00685E60">
        <w:rPr>
          <w:rFonts w:cs="Arial"/>
        </w:rPr>
        <w:t>Scope</w:t>
      </w:r>
      <w:r w:rsidRPr="006A6CE3">
        <w:rPr>
          <w:rFonts w:cs="Arial"/>
        </w:rPr>
        <w:t xml:space="preserve"> 3 emissions using a range of estimation approaches. </w:t>
      </w:r>
      <w:r w:rsidRPr="006A6CE3" w:rsidDel="003C7B8C">
        <w:rPr>
          <w:rFonts w:cs="Arial"/>
        </w:rPr>
        <w:t xml:space="preserve"> </w:t>
      </w:r>
    </w:p>
    <w:p w:rsidR="00913351" w:rsidRPr="006A6CE3" w:rsidRDefault="00913351" w:rsidP="00E204D9">
      <w:pPr>
        <w:rPr>
          <w:rFonts w:cs="Arial"/>
        </w:rPr>
      </w:pPr>
      <w:r w:rsidRPr="006A6CE3">
        <w:rPr>
          <w:rFonts w:cs="Arial"/>
        </w:rPr>
        <w:t xml:space="preserve">The table in </w:t>
      </w:r>
      <w:hyperlink w:anchor="_Annex_E:_Supply" w:history="1">
        <w:r w:rsidRPr="006A6CE3">
          <w:rPr>
            <w:rStyle w:val="Hyperlink"/>
            <w:rFonts w:cs="Arial"/>
          </w:rPr>
          <w:t>Annex E</w:t>
        </w:r>
      </w:hyperlink>
      <w:r w:rsidRPr="006A6CE3">
        <w:rPr>
          <w:rFonts w:cs="Arial"/>
        </w:rPr>
        <w:t xml:space="preserve"> gives generic data on the GHG emissions typically associated with particular purchases in terms of the amount of money spent. It can be used to identify potentially large sources of GHG emissions in your supply chain. These can then be the focus of efforts to gain better quality data. For example, if £1,000 is spent on ‘ceramic goods’ (in purchasers' prices i.e. including VAT) in 2009, then the table calculates that 585 kilograms of CO2e were released during all stages of the production of these goods, including raw material extraction, processing, manufacturing, transportation, packaging etc.  </w:t>
      </w:r>
    </w:p>
    <w:p w:rsidR="00913351" w:rsidRPr="006A6CE3" w:rsidRDefault="00913351" w:rsidP="00E204D9">
      <w:pPr>
        <w:rPr>
          <w:rFonts w:cs="Arial"/>
        </w:rPr>
      </w:pPr>
      <w:r w:rsidRPr="006A6CE3">
        <w:rPr>
          <w:rFonts w:cs="Arial"/>
        </w:rPr>
        <w:t>The table should only be used to gain an overview of emissions in your supply chain in cases where the only data you have is how much money you have spent on a particular item. It should not be used in cases where you know the mass of coal/ kWh of electricity/distance travelled in particular types of transport, etc</w:t>
      </w:r>
      <w:r w:rsidR="009C72E8">
        <w:rPr>
          <w:rFonts w:cs="Arial"/>
        </w:rPr>
        <w:t>.</w:t>
      </w:r>
      <w:r w:rsidRPr="006A6CE3">
        <w:rPr>
          <w:rFonts w:cs="Arial"/>
        </w:rPr>
        <w:t>, as using this data will give you more accurate figures.</w:t>
      </w:r>
    </w:p>
    <w:p w:rsidR="00913351" w:rsidRPr="006A6CE3" w:rsidRDefault="00913351" w:rsidP="00E204D9">
      <w:pPr>
        <w:rPr>
          <w:rFonts w:cs="Arial"/>
        </w:rPr>
      </w:pPr>
      <w:r w:rsidRPr="006A6CE3">
        <w:rPr>
          <w:rFonts w:cs="Arial"/>
        </w:rPr>
        <w:t xml:space="preserve">Once you have identified which Scope 3 emission sources are relevant, you need to organise your data collection. </w:t>
      </w:r>
    </w:p>
    <w:p w:rsidR="00913351" w:rsidRPr="006A6CE3" w:rsidRDefault="00913351" w:rsidP="00E204D9">
      <w:pPr>
        <w:pStyle w:val="Heading3"/>
        <w:rPr>
          <w:rFonts w:cs="Arial"/>
          <w:color w:val="76923C"/>
          <w:sz w:val="36"/>
          <w:szCs w:val="36"/>
        </w:rPr>
      </w:pPr>
      <w:bookmarkStart w:id="138" w:name="_PART_5:_Which"/>
      <w:bookmarkStart w:id="139" w:name="_PART_6:_What"/>
      <w:bookmarkStart w:id="140" w:name="_What_information_should"/>
      <w:bookmarkStart w:id="141" w:name="_PART_7:_How"/>
      <w:bookmarkStart w:id="142" w:name="_Toc358054567"/>
      <w:bookmarkStart w:id="143" w:name="_Toc358060207"/>
      <w:bookmarkStart w:id="144" w:name="_Toc358302273"/>
      <w:bookmarkEnd w:id="138"/>
      <w:bookmarkEnd w:id="139"/>
      <w:bookmarkEnd w:id="140"/>
      <w:bookmarkEnd w:id="141"/>
      <w:r w:rsidRPr="006A6CE3">
        <w:rPr>
          <w:rFonts w:cs="Arial"/>
          <w:color w:val="76923C"/>
          <w:sz w:val="36"/>
          <w:szCs w:val="36"/>
        </w:rPr>
        <w:t xml:space="preserve">What </w:t>
      </w:r>
      <w:r w:rsidR="00990C75">
        <w:rPr>
          <w:rFonts w:cs="Arial"/>
          <w:color w:val="76923C"/>
          <w:sz w:val="36"/>
          <w:szCs w:val="36"/>
        </w:rPr>
        <w:t xml:space="preserve">else </w:t>
      </w:r>
      <w:r w:rsidRPr="006A6CE3">
        <w:rPr>
          <w:rFonts w:cs="Arial"/>
          <w:color w:val="76923C"/>
          <w:sz w:val="36"/>
          <w:szCs w:val="36"/>
        </w:rPr>
        <w:t>do I disclose in my report?</w:t>
      </w:r>
      <w:bookmarkEnd w:id="142"/>
      <w:bookmarkEnd w:id="143"/>
      <w:bookmarkEnd w:id="144"/>
      <w:r w:rsidRPr="006A6CE3">
        <w:rPr>
          <w:rFonts w:cs="Arial"/>
          <w:color w:val="76923C"/>
          <w:sz w:val="36"/>
          <w:szCs w:val="36"/>
        </w:rPr>
        <w:t xml:space="preserve"> </w:t>
      </w:r>
    </w:p>
    <w:p w:rsidR="00913351" w:rsidRPr="006A6CE3" w:rsidRDefault="00913351" w:rsidP="00E204D9">
      <w:pPr>
        <w:rPr>
          <w:rFonts w:cs="Arial"/>
          <w:color w:val="000000"/>
        </w:rPr>
      </w:pPr>
      <w:bookmarkStart w:id="145" w:name="_Toc343016850"/>
      <w:r w:rsidRPr="006A6CE3">
        <w:rPr>
          <w:rFonts w:cs="Arial"/>
          <w:color w:val="000000"/>
        </w:rPr>
        <w:t>Outline your climate change strategy to provide context to your emissions balance sheet</w:t>
      </w:r>
      <w:r w:rsidRPr="006A6CE3" w:rsidDel="006A4A2C">
        <w:rPr>
          <w:rFonts w:cs="Arial"/>
          <w:color w:val="000000"/>
        </w:rPr>
        <w:t xml:space="preserve"> (an example of reported emissions is given below)</w:t>
      </w:r>
      <w:r w:rsidRPr="006A6CE3">
        <w:rPr>
          <w:rFonts w:cs="Arial"/>
          <w:color w:val="000000"/>
        </w:rPr>
        <w:t>.  It is suggested that you should also identify the risks and opportunities that climate change poses to your business; and demonstrate how you address, or plan to address them.</w:t>
      </w:r>
    </w:p>
    <w:p w:rsidR="00913351" w:rsidRPr="00BE3068" w:rsidRDefault="00913351" w:rsidP="00BE3068">
      <w:pPr>
        <w:pStyle w:val="Heading3"/>
        <w:rPr>
          <w:color w:val="76923C"/>
          <w:sz w:val="36"/>
          <w:szCs w:val="36"/>
        </w:rPr>
      </w:pPr>
      <w:bookmarkStart w:id="146" w:name="_Intensity_ratios"/>
      <w:bookmarkStart w:id="147" w:name="_Toc343016851"/>
      <w:bookmarkStart w:id="148" w:name="_Toc358302275"/>
      <w:bookmarkEnd w:id="145"/>
      <w:bookmarkEnd w:id="146"/>
      <w:r w:rsidRPr="00BE3068">
        <w:rPr>
          <w:color w:val="76923C"/>
          <w:sz w:val="36"/>
          <w:szCs w:val="36"/>
        </w:rPr>
        <w:t>Intensity ratios</w:t>
      </w:r>
      <w:bookmarkEnd w:id="147"/>
      <w:bookmarkEnd w:id="148"/>
    </w:p>
    <w:p w:rsidR="00913351" w:rsidRPr="006A6CE3" w:rsidRDefault="00913351" w:rsidP="00E204D9">
      <w:pPr>
        <w:rPr>
          <w:rFonts w:cs="Arial"/>
        </w:rPr>
      </w:pPr>
      <w:r w:rsidRPr="006A6CE3" w:rsidDel="002112DF">
        <w:rPr>
          <w:rFonts w:cs="Arial"/>
        </w:rPr>
        <w:t xml:space="preserve">Organisations should normalise </w:t>
      </w:r>
      <w:r w:rsidRPr="006A6CE3">
        <w:rPr>
          <w:rFonts w:cs="Arial"/>
        </w:rPr>
        <w:t xml:space="preserve">at least </w:t>
      </w:r>
      <w:r w:rsidRPr="006A6CE3" w:rsidDel="002112DF">
        <w:rPr>
          <w:rFonts w:cs="Arial"/>
        </w:rPr>
        <w:t xml:space="preserve">their total global </w:t>
      </w:r>
      <w:r w:rsidR="00685E60">
        <w:rPr>
          <w:rFonts w:cs="Arial"/>
        </w:rPr>
        <w:t>Scope</w:t>
      </w:r>
      <w:r w:rsidRPr="006A6CE3" w:rsidDel="002112DF">
        <w:rPr>
          <w:rFonts w:cs="Arial"/>
        </w:rPr>
        <w:t xml:space="preserve"> 1 and 2 emissions using an intensity ratio.  </w:t>
      </w:r>
      <w:r w:rsidRPr="006A6CE3">
        <w:rPr>
          <w:rFonts w:cs="Arial"/>
        </w:rPr>
        <w:t xml:space="preserve">We recommend you use the intensity ratios which are most relevant to your organisation and will provide the most </w:t>
      </w:r>
      <w:proofErr w:type="gramStart"/>
      <w:r w:rsidRPr="006A6CE3">
        <w:rPr>
          <w:rFonts w:cs="Arial"/>
        </w:rPr>
        <w:t>context</w:t>
      </w:r>
      <w:proofErr w:type="gramEnd"/>
      <w:r w:rsidRPr="006A6CE3">
        <w:rPr>
          <w:rFonts w:cs="Arial"/>
        </w:rPr>
        <w:t xml:space="preserve"> to users of this information. This may mean reporting intensity ratios that relate to </w:t>
      </w:r>
      <w:r w:rsidR="00685E60">
        <w:rPr>
          <w:rFonts w:cs="Arial"/>
        </w:rPr>
        <w:t>Scope</w:t>
      </w:r>
      <w:r w:rsidRPr="006A6CE3">
        <w:rPr>
          <w:rFonts w:cs="Arial"/>
        </w:rPr>
        <w:t xml:space="preserve"> 3.  See </w:t>
      </w:r>
      <w:hyperlink w:anchor="_Annex_F:_Intensity" w:history="1">
        <w:r w:rsidRPr="006A6CE3">
          <w:rPr>
            <w:rStyle w:val="Hyperlink"/>
            <w:rFonts w:cs="Arial"/>
          </w:rPr>
          <w:t>Annex F</w:t>
        </w:r>
      </w:hyperlink>
      <w:r w:rsidRPr="006A6CE3">
        <w:rPr>
          <w:rFonts w:cs="Arial"/>
        </w:rPr>
        <w:t xml:space="preserve"> for examples.</w:t>
      </w:r>
    </w:p>
    <w:p w:rsidR="00913351" w:rsidRPr="00BE3068" w:rsidRDefault="00913351" w:rsidP="00BE3068">
      <w:pPr>
        <w:pStyle w:val="Heading3"/>
        <w:rPr>
          <w:color w:val="76923C"/>
          <w:sz w:val="36"/>
          <w:szCs w:val="36"/>
        </w:rPr>
      </w:pPr>
      <w:bookmarkStart w:id="149" w:name="_Toc358302276"/>
      <w:r w:rsidRPr="00BE3068">
        <w:rPr>
          <w:color w:val="76923C"/>
          <w:sz w:val="36"/>
          <w:szCs w:val="36"/>
        </w:rPr>
        <w:lastRenderedPageBreak/>
        <w:t>Recommended supporting explanations</w:t>
      </w:r>
      <w:bookmarkEnd w:id="149"/>
    </w:p>
    <w:p w:rsidR="00913351" w:rsidRPr="006A6CE3" w:rsidRDefault="00913351" w:rsidP="00E204D9">
      <w:pPr>
        <w:rPr>
          <w:rFonts w:cs="Arial"/>
        </w:rPr>
      </w:pPr>
      <w:r w:rsidRPr="006A6CE3">
        <w:rPr>
          <w:rFonts w:cs="Arial"/>
        </w:rPr>
        <w:t xml:space="preserve">You should provide the following written explanations when you report your greenhouse gas emissions. This will help to explain how these figures have been calculated and provide context for the data for your stakeholders.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7830"/>
      </w:tblGrid>
      <w:tr w:rsidR="00913351" w:rsidRPr="006A6CE3" w:rsidTr="002B1436">
        <w:tc>
          <w:tcPr>
            <w:tcW w:w="409" w:type="pct"/>
            <w:shd w:val="clear" w:color="auto" w:fill="929309"/>
          </w:tcPr>
          <w:p w:rsidR="00913351" w:rsidRPr="006A6CE3" w:rsidRDefault="00913351" w:rsidP="00E204D9">
            <w:pPr>
              <w:pStyle w:val="NoSpacing"/>
              <w:rPr>
                <w:rFonts w:ascii="Arial" w:hAnsi="Arial" w:cs="Arial"/>
                <w:sz w:val="24"/>
                <w:szCs w:val="24"/>
                <w:lang w:bidi="en-US"/>
              </w:rPr>
            </w:pPr>
          </w:p>
        </w:tc>
        <w:tc>
          <w:tcPr>
            <w:tcW w:w="4591" w:type="pct"/>
            <w:shd w:val="clear" w:color="auto" w:fill="929309"/>
          </w:tcPr>
          <w:p w:rsidR="00913351" w:rsidRPr="006A6CE3" w:rsidRDefault="00913351" w:rsidP="00E204D9">
            <w:pPr>
              <w:pStyle w:val="NoSpacing"/>
              <w:rPr>
                <w:rFonts w:ascii="Arial" w:hAnsi="Arial" w:cs="Arial"/>
                <w:sz w:val="24"/>
                <w:szCs w:val="24"/>
                <w:lang w:bidi="en-US"/>
              </w:rPr>
            </w:pPr>
            <w:bookmarkStart w:id="150" w:name="_Toc225855407"/>
            <w:r w:rsidRPr="006A6CE3">
              <w:rPr>
                <w:rFonts w:ascii="Arial" w:hAnsi="Arial" w:cs="Arial"/>
                <w:sz w:val="24"/>
                <w:szCs w:val="24"/>
                <w:lang w:bidi="en-US"/>
              </w:rPr>
              <w:t xml:space="preserve">Recommended </w:t>
            </w:r>
            <w:bookmarkEnd w:id="150"/>
            <w:r w:rsidRPr="006A6CE3">
              <w:rPr>
                <w:rFonts w:ascii="Arial" w:hAnsi="Arial" w:cs="Arial"/>
                <w:sz w:val="24"/>
                <w:szCs w:val="24"/>
                <w:lang w:bidi="en-US"/>
              </w:rPr>
              <w:t>supporting explanations</w:t>
            </w:r>
          </w:p>
          <w:p w:rsidR="00913351" w:rsidRPr="006A6CE3" w:rsidRDefault="00913351" w:rsidP="00E204D9">
            <w:pPr>
              <w:pStyle w:val="NoSpacing"/>
              <w:rPr>
                <w:rFonts w:ascii="Arial" w:hAnsi="Arial" w:cs="Arial"/>
                <w:sz w:val="24"/>
                <w:szCs w:val="24"/>
                <w:lang w:bidi="en-US"/>
              </w:rPr>
            </w:pPr>
          </w:p>
        </w:tc>
      </w:tr>
      <w:tr w:rsidR="00913351" w:rsidRPr="006A6CE3" w:rsidTr="002B1436">
        <w:tc>
          <w:tcPr>
            <w:tcW w:w="409"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1</w:t>
            </w:r>
          </w:p>
        </w:tc>
        <w:tc>
          <w:tcPr>
            <w:tcW w:w="4591"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 xml:space="preserve">General company / organisational information </w:t>
            </w:r>
          </w:p>
        </w:tc>
      </w:tr>
      <w:tr w:rsidR="00913351" w:rsidRPr="006A6CE3" w:rsidTr="002B1436">
        <w:tc>
          <w:tcPr>
            <w:tcW w:w="409"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2</w:t>
            </w:r>
          </w:p>
        </w:tc>
        <w:tc>
          <w:tcPr>
            <w:tcW w:w="4591"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 xml:space="preserve">The reporting period covered </w:t>
            </w:r>
          </w:p>
        </w:tc>
      </w:tr>
      <w:tr w:rsidR="00913351" w:rsidRPr="006A6CE3" w:rsidTr="002B1436">
        <w:tc>
          <w:tcPr>
            <w:tcW w:w="409"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3</w:t>
            </w:r>
          </w:p>
        </w:tc>
        <w:tc>
          <w:tcPr>
            <w:tcW w:w="4591"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The reason for any significant changes in emissions since previous year</w:t>
            </w:r>
          </w:p>
        </w:tc>
      </w:tr>
      <w:tr w:rsidR="00913351" w:rsidRPr="006A6CE3" w:rsidTr="002B1436">
        <w:tc>
          <w:tcPr>
            <w:tcW w:w="409"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4</w:t>
            </w:r>
          </w:p>
        </w:tc>
        <w:tc>
          <w:tcPr>
            <w:tcW w:w="4591"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The quantification and reporting methodology followed. If you have used data collected for CCA, EU ETS, CRC Energy Efficiency or other schemes, please state as these form part of your methodology.</w:t>
            </w:r>
          </w:p>
        </w:tc>
      </w:tr>
      <w:tr w:rsidR="00913351" w:rsidRPr="006A6CE3" w:rsidTr="002B1436">
        <w:tc>
          <w:tcPr>
            <w:tcW w:w="409"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5</w:t>
            </w:r>
          </w:p>
        </w:tc>
        <w:tc>
          <w:tcPr>
            <w:tcW w:w="4591"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The approach chosen to identify the operations you have collected data from</w:t>
            </w:r>
          </w:p>
        </w:tc>
      </w:tr>
      <w:tr w:rsidR="00913351" w:rsidRPr="006A6CE3" w:rsidTr="002B1436">
        <w:tc>
          <w:tcPr>
            <w:tcW w:w="409"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6</w:t>
            </w:r>
          </w:p>
        </w:tc>
        <w:tc>
          <w:tcPr>
            <w:tcW w:w="4591"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 xml:space="preserve">The scopes included. Provide a list specifying the activity types included in each scope. </w:t>
            </w:r>
          </w:p>
        </w:tc>
      </w:tr>
      <w:tr w:rsidR="00913351" w:rsidRPr="006A6CE3" w:rsidTr="002B1436">
        <w:trPr>
          <w:trHeight w:val="678"/>
        </w:trPr>
        <w:tc>
          <w:tcPr>
            <w:tcW w:w="409"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7</w:t>
            </w:r>
          </w:p>
        </w:tc>
        <w:tc>
          <w:tcPr>
            <w:tcW w:w="4591"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 xml:space="preserve">Provide detail of any specific exclusions of emissions from </w:t>
            </w:r>
            <w:r w:rsidR="00685E60">
              <w:rPr>
                <w:rFonts w:ascii="Arial" w:hAnsi="Arial" w:cs="Arial"/>
                <w:sz w:val="24"/>
                <w:szCs w:val="24"/>
                <w:lang w:bidi="en-US"/>
              </w:rPr>
              <w:t>Scope</w:t>
            </w:r>
            <w:r w:rsidRPr="006A6CE3">
              <w:rPr>
                <w:rFonts w:ascii="Arial" w:hAnsi="Arial" w:cs="Arial"/>
                <w:sz w:val="24"/>
                <w:szCs w:val="24"/>
                <w:lang w:bidi="en-US"/>
              </w:rPr>
              <w:t xml:space="preserve">s 1, 2 and 3 (including estimation of the % they represent). </w:t>
            </w:r>
          </w:p>
        </w:tc>
      </w:tr>
      <w:tr w:rsidR="00913351" w:rsidRPr="006A6CE3" w:rsidTr="002B1436">
        <w:tc>
          <w:tcPr>
            <w:tcW w:w="409"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8</w:t>
            </w:r>
          </w:p>
        </w:tc>
        <w:tc>
          <w:tcPr>
            <w:tcW w:w="4591"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 xml:space="preserve"> Explain the reason for any </w:t>
            </w:r>
            <w:proofErr w:type="gramStart"/>
            <w:r w:rsidRPr="006A6CE3">
              <w:rPr>
                <w:rFonts w:ascii="Arial" w:hAnsi="Arial" w:cs="Arial"/>
                <w:sz w:val="24"/>
                <w:szCs w:val="24"/>
                <w:lang w:bidi="en-US"/>
              </w:rPr>
              <w:t>exclusions</w:t>
            </w:r>
            <w:proofErr w:type="gramEnd"/>
            <w:r w:rsidRPr="006A6CE3">
              <w:rPr>
                <w:rFonts w:ascii="Arial" w:hAnsi="Arial" w:cs="Arial"/>
                <w:sz w:val="24"/>
                <w:szCs w:val="24"/>
                <w:lang w:bidi="en-US"/>
              </w:rPr>
              <w:t xml:space="preserve"> from </w:t>
            </w:r>
            <w:r w:rsidR="00685E60">
              <w:rPr>
                <w:rFonts w:ascii="Arial" w:hAnsi="Arial" w:cs="Arial"/>
                <w:sz w:val="24"/>
                <w:szCs w:val="24"/>
                <w:lang w:bidi="en-US"/>
              </w:rPr>
              <w:t>Scope</w:t>
            </w:r>
            <w:r w:rsidRPr="006A6CE3">
              <w:rPr>
                <w:rFonts w:ascii="Arial" w:hAnsi="Arial" w:cs="Arial"/>
                <w:sz w:val="24"/>
                <w:szCs w:val="24"/>
                <w:lang w:bidi="en-US"/>
              </w:rPr>
              <w:t xml:space="preserve">s 1, 2 and 3. </w:t>
            </w:r>
          </w:p>
        </w:tc>
      </w:tr>
      <w:tr w:rsidR="00913351" w:rsidRPr="006A6CE3" w:rsidTr="002B1436">
        <w:trPr>
          <w:trHeight w:val="668"/>
        </w:trPr>
        <w:tc>
          <w:tcPr>
            <w:tcW w:w="409"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9</w:t>
            </w:r>
          </w:p>
        </w:tc>
        <w:tc>
          <w:tcPr>
            <w:tcW w:w="4591"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 xml:space="preserve">The calculation approach used, specifically stating for each activity the % of activity data estimated.   </w:t>
            </w:r>
          </w:p>
        </w:tc>
      </w:tr>
      <w:tr w:rsidR="00913351" w:rsidRPr="006A6CE3" w:rsidTr="002B1436">
        <w:tc>
          <w:tcPr>
            <w:tcW w:w="409"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10</w:t>
            </w:r>
          </w:p>
        </w:tc>
        <w:tc>
          <w:tcPr>
            <w:tcW w:w="4591"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 xml:space="preserve">The conversion / emission factors you used. </w:t>
            </w:r>
          </w:p>
        </w:tc>
      </w:tr>
      <w:tr w:rsidR="00913351" w:rsidRPr="006A6CE3" w:rsidTr="002B1436">
        <w:tc>
          <w:tcPr>
            <w:tcW w:w="409"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11</w:t>
            </w:r>
          </w:p>
        </w:tc>
        <w:tc>
          <w:tcPr>
            <w:tcW w:w="4591"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 xml:space="preserve">Provide a breakdown by country of total GHG emissions </w:t>
            </w:r>
          </w:p>
        </w:tc>
      </w:tr>
      <w:tr w:rsidR="00913351" w:rsidRPr="006A6CE3" w:rsidTr="002B1436">
        <w:tc>
          <w:tcPr>
            <w:tcW w:w="409"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12</w:t>
            </w:r>
          </w:p>
        </w:tc>
        <w:tc>
          <w:tcPr>
            <w:tcW w:w="4591"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 xml:space="preserve">Provide detail of any </w:t>
            </w:r>
            <w:proofErr w:type="gramStart"/>
            <w:r w:rsidRPr="006A6CE3">
              <w:rPr>
                <w:rFonts w:ascii="Arial" w:hAnsi="Arial" w:cs="Arial"/>
                <w:sz w:val="24"/>
                <w:szCs w:val="24"/>
                <w:lang w:bidi="en-US"/>
              </w:rPr>
              <w:t>exclusions</w:t>
            </w:r>
            <w:proofErr w:type="gramEnd"/>
            <w:r w:rsidRPr="006A6CE3">
              <w:rPr>
                <w:rFonts w:ascii="Arial" w:hAnsi="Arial" w:cs="Arial"/>
                <w:sz w:val="24"/>
                <w:szCs w:val="24"/>
                <w:lang w:bidi="en-US"/>
              </w:rPr>
              <w:t xml:space="preserve"> of countries.</w:t>
            </w:r>
          </w:p>
        </w:tc>
      </w:tr>
      <w:tr w:rsidR="00913351" w:rsidRPr="006A6CE3" w:rsidTr="002B1436">
        <w:tc>
          <w:tcPr>
            <w:tcW w:w="409"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13</w:t>
            </w:r>
          </w:p>
        </w:tc>
        <w:tc>
          <w:tcPr>
            <w:tcW w:w="4591"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 xml:space="preserve">The base year chosen and approach used to set the base year </w:t>
            </w:r>
          </w:p>
        </w:tc>
      </w:tr>
      <w:tr w:rsidR="00913351" w:rsidRPr="006A6CE3" w:rsidTr="002B1436">
        <w:tc>
          <w:tcPr>
            <w:tcW w:w="409"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14</w:t>
            </w:r>
          </w:p>
        </w:tc>
        <w:tc>
          <w:tcPr>
            <w:tcW w:w="4591"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 xml:space="preserve"> The base year recalculation policy</w:t>
            </w:r>
          </w:p>
        </w:tc>
      </w:tr>
      <w:tr w:rsidR="00913351" w:rsidRPr="006A6CE3" w:rsidTr="002B1436">
        <w:tc>
          <w:tcPr>
            <w:tcW w:w="409"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15</w:t>
            </w:r>
          </w:p>
        </w:tc>
        <w:tc>
          <w:tcPr>
            <w:tcW w:w="4591"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State appropriate context for any significant emissions changes that trigger base year emissions.</w:t>
            </w:r>
          </w:p>
        </w:tc>
      </w:tr>
      <w:tr w:rsidR="00913351" w:rsidRPr="006A6CE3" w:rsidTr="002B1436">
        <w:tc>
          <w:tcPr>
            <w:tcW w:w="409"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16</w:t>
            </w:r>
          </w:p>
        </w:tc>
        <w:tc>
          <w:tcPr>
            <w:tcW w:w="4591"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State your target, including scopes covered and target completion date.  Provide a brief overview of progress towards target.</w:t>
            </w:r>
          </w:p>
        </w:tc>
      </w:tr>
      <w:tr w:rsidR="00913351" w:rsidRPr="006A6CE3" w:rsidTr="002B1436">
        <w:tc>
          <w:tcPr>
            <w:tcW w:w="409"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17</w:t>
            </w:r>
          </w:p>
        </w:tc>
        <w:tc>
          <w:tcPr>
            <w:tcW w:w="4591"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The name of the person(s) responsible for achievement of this target and their position in your organisation</w:t>
            </w:r>
          </w:p>
        </w:tc>
      </w:tr>
      <w:tr w:rsidR="00913351" w:rsidRPr="006A6CE3" w:rsidTr="002B1436">
        <w:tc>
          <w:tcPr>
            <w:tcW w:w="409"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18</w:t>
            </w:r>
          </w:p>
        </w:tc>
        <w:tc>
          <w:tcPr>
            <w:tcW w:w="4591"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 xml:space="preserve">The reason for your intensity measurement choice </w:t>
            </w:r>
          </w:p>
        </w:tc>
      </w:tr>
      <w:tr w:rsidR="00913351" w:rsidRPr="006A6CE3" w:rsidTr="002B1436">
        <w:tc>
          <w:tcPr>
            <w:tcW w:w="409"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19</w:t>
            </w:r>
          </w:p>
        </w:tc>
        <w:tc>
          <w:tcPr>
            <w:tcW w:w="4591"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The reason for any significant changes in your intensity measurement from the previous year</w:t>
            </w:r>
          </w:p>
        </w:tc>
      </w:tr>
      <w:tr w:rsidR="00913351" w:rsidRPr="006A6CE3" w:rsidTr="002B1436">
        <w:tc>
          <w:tcPr>
            <w:tcW w:w="409"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20</w:t>
            </w:r>
          </w:p>
        </w:tc>
        <w:tc>
          <w:tcPr>
            <w:tcW w:w="4591"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 xml:space="preserve">Provide an outline of any external assurance received and a copy of any assurance statement, if applicable. </w:t>
            </w:r>
          </w:p>
        </w:tc>
      </w:tr>
      <w:tr w:rsidR="00913351" w:rsidRPr="006A6CE3" w:rsidTr="002B1436">
        <w:tc>
          <w:tcPr>
            <w:tcW w:w="409"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21</w:t>
            </w:r>
          </w:p>
        </w:tc>
        <w:tc>
          <w:tcPr>
            <w:tcW w:w="4591"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For purchased carbon credits and Woodland Carbon Units, state the reduction in tonnes of CO</w:t>
            </w:r>
            <w:r w:rsidRPr="006A6CE3">
              <w:rPr>
                <w:rFonts w:ascii="Arial" w:hAnsi="Arial" w:cs="Arial"/>
                <w:sz w:val="24"/>
                <w:szCs w:val="24"/>
                <w:vertAlign w:val="subscript"/>
                <w:lang w:bidi="en-US"/>
              </w:rPr>
              <w:t>2</w:t>
            </w:r>
            <w:r w:rsidRPr="006A6CE3">
              <w:rPr>
                <w:rFonts w:ascii="Arial" w:hAnsi="Arial" w:cs="Arial"/>
                <w:sz w:val="24"/>
                <w:szCs w:val="24"/>
                <w:lang w:bidi="en-US"/>
              </w:rPr>
              <w:t>e per year</w:t>
            </w:r>
            <w:r w:rsidR="00FA490B">
              <w:rPr>
                <w:rFonts w:ascii="Arial" w:hAnsi="Arial" w:cs="Arial"/>
                <w:sz w:val="24"/>
                <w:szCs w:val="24"/>
                <w:lang w:bidi="en-US"/>
              </w:rPr>
              <w:t>.</w:t>
            </w:r>
          </w:p>
        </w:tc>
      </w:tr>
      <w:tr w:rsidR="00913351" w:rsidRPr="006A6CE3" w:rsidTr="002B1436">
        <w:tc>
          <w:tcPr>
            <w:tcW w:w="409"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22</w:t>
            </w:r>
          </w:p>
        </w:tc>
        <w:tc>
          <w:tcPr>
            <w:tcW w:w="4591"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 xml:space="preserve">See </w:t>
            </w:r>
            <w:hyperlink w:anchor="_Annex_G:_Emission" w:history="1">
              <w:r w:rsidRPr="006A6CE3">
                <w:rPr>
                  <w:rStyle w:val="Hyperlink"/>
                  <w:rFonts w:ascii="Arial" w:hAnsi="Arial" w:cs="Arial"/>
                  <w:sz w:val="24"/>
                  <w:szCs w:val="24"/>
                  <w:lang w:bidi="en-US"/>
                </w:rPr>
                <w:t>Annex G</w:t>
              </w:r>
            </w:hyperlink>
            <w:r w:rsidRPr="006A6CE3">
              <w:rPr>
                <w:rFonts w:ascii="Arial" w:hAnsi="Arial" w:cs="Arial"/>
                <w:sz w:val="24"/>
                <w:szCs w:val="24"/>
                <w:lang w:bidi="en-US"/>
              </w:rPr>
              <w:t xml:space="preserve"> for a list of the information that should be provided for carbon credits and Woodland Carbon Units.  </w:t>
            </w:r>
          </w:p>
        </w:tc>
      </w:tr>
      <w:tr w:rsidR="00913351" w:rsidRPr="006A6CE3" w:rsidTr="002B1436">
        <w:tc>
          <w:tcPr>
            <w:tcW w:w="409"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 xml:space="preserve">23 </w:t>
            </w:r>
          </w:p>
        </w:tc>
        <w:tc>
          <w:tcPr>
            <w:tcW w:w="4591" w:type="pct"/>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 xml:space="preserve">State in </w:t>
            </w:r>
            <w:proofErr w:type="spellStart"/>
            <w:r w:rsidRPr="006A6CE3">
              <w:rPr>
                <w:rFonts w:ascii="Arial" w:hAnsi="Arial" w:cs="Arial"/>
                <w:sz w:val="24"/>
                <w:szCs w:val="24"/>
                <w:lang w:bidi="en-US"/>
              </w:rPr>
              <w:t>MWh</w:t>
            </w:r>
            <w:proofErr w:type="spellEnd"/>
            <w:r w:rsidRPr="006A6CE3">
              <w:rPr>
                <w:rFonts w:ascii="Arial" w:hAnsi="Arial" w:cs="Arial"/>
                <w:sz w:val="24"/>
                <w:szCs w:val="24"/>
                <w:lang w:bidi="en-US"/>
              </w:rPr>
              <w:t xml:space="preserve"> the amount of electricity purchased for use or consumption in owned or controlled sources.</w:t>
            </w:r>
          </w:p>
        </w:tc>
      </w:tr>
      <w:tr w:rsidR="00FA490B" w:rsidRPr="006A6CE3" w:rsidTr="002B1436">
        <w:tc>
          <w:tcPr>
            <w:tcW w:w="409" w:type="pct"/>
          </w:tcPr>
          <w:p w:rsidR="00FA490B" w:rsidRPr="006A6CE3" w:rsidRDefault="00FA490B" w:rsidP="00FA490B">
            <w:pPr>
              <w:pStyle w:val="NoSpacing"/>
              <w:rPr>
                <w:rFonts w:ascii="Arial" w:hAnsi="Arial" w:cs="Arial"/>
                <w:sz w:val="24"/>
                <w:szCs w:val="24"/>
                <w:lang w:bidi="en-US"/>
              </w:rPr>
            </w:pPr>
            <w:r>
              <w:rPr>
                <w:rFonts w:ascii="Arial" w:hAnsi="Arial" w:cs="Arial"/>
                <w:sz w:val="24"/>
                <w:szCs w:val="24"/>
                <w:lang w:bidi="en-US"/>
              </w:rPr>
              <w:lastRenderedPageBreak/>
              <w:t>24</w:t>
            </w:r>
          </w:p>
        </w:tc>
        <w:tc>
          <w:tcPr>
            <w:tcW w:w="4591" w:type="pct"/>
          </w:tcPr>
          <w:p w:rsidR="00FA490B" w:rsidRDefault="00FA490B" w:rsidP="00A44CDB">
            <w:pPr>
              <w:pStyle w:val="NoSpacing"/>
              <w:rPr>
                <w:rFonts w:ascii="Arial" w:hAnsi="Arial" w:cs="Arial"/>
                <w:sz w:val="24"/>
                <w:szCs w:val="24"/>
                <w:lang w:eastAsia="en-GB"/>
              </w:rPr>
            </w:pPr>
          </w:p>
          <w:p w:rsidR="003038C5" w:rsidRDefault="003038C5" w:rsidP="00A44CDB">
            <w:pPr>
              <w:pStyle w:val="NoSpacing"/>
              <w:rPr>
                <w:rFonts w:ascii="Arial" w:hAnsi="Arial" w:cs="Arial"/>
                <w:sz w:val="24"/>
                <w:szCs w:val="24"/>
                <w:lang w:eastAsia="en-GB"/>
              </w:rPr>
            </w:pPr>
            <w:r>
              <w:rPr>
                <w:rFonts w:ascii="Arial" w:hAnsi="Arial" w:cs="Arial"/>
                <w:sz w:val="24"/>
                <w:szCs w:val="24"/>
                <w:lang w:eastAsia="en-GB"/>
              </w:rPr>
              <w:t xml:space="preserve">For electricity purchases that meet the criteria </w:t>
            </w:r>
            <w:hyperlink w:anchor="_Purchased_Electricity" w:history="1">
              <w:r w:rsidRPr="003038C5">
                <w:rPr>
                  <w:rStyle w:val="Hyperlink"/>
                  <w:rFonts w:ascii="Arial" w:hAnsi="Arial" w:cs="Arial"/>
                  <w:sz w:val="24"/>
                  <w:szCs w:val="24"/>
                  <w:lang w:eastAsia="en-GB"/>
                </w:rPr>
                <w:t>here</w:t>
              </w:r>
            </w:hyperlink>
            <w:r>
              <w:rPr>
                <w:rFonts w:ascii="Arial" w:hAnsi="Arial" w:cs="Arial"/>
                <w:sz w:val="24"/>
                <w:szCs w:val="24"/>
                <w:lang w:eastAsia="en-GB"/>
              </w:rPr>
              <w:t>, state: amount purchased</w:t>
            </w:r>
            <w:r w:rsidR="009877BE">
              <w:rPr>
                <w:rFonts w:ascii="Arial" w:hAnsi="Arial" w:cs="Arial"/>
                <w:sz w:val="24"/>
                <w:szCs w:val="24"/>
                <w:lang w:eastAsia="en-GB"/>
              </w:rPr>
              <w:t>;</w:t>
            </w:r>
            <w:r>
              <w:rPr>
                <w:rFonts w:ascii="Arial" w:hAnsi="Arial" w:cs="Arial"/>
                <w:sz w:val="24"/>
                <w:szCs w:val="24"/>
                <w:lang w:eastAsia="en-GB"/>
              </w:rPr>
              <w:t xml:space="preserve"> technology type</w:t>
            </w:r>
            <w:r w:rsidR="009877BE">
              <w:rPr>
                <w:rFonts w:ascii="Arial" w:hAnsi="Arial" w:cs="Arial"/>
                <w:sz w:val="24"/>
                <w:szCs w:val="24"/>
                <w:lang w:eastAsia="en-GB"/>
              </w:rPr>
              <w:t>; plant location;</w:t>
            </w:r>
            <w:r>
              <w:rPr>
                <w:rFonts w:ascii="Arial" w:hAnsi="Arial" w:cs="Arial"/>
                <w:sz w:val="24"/>
                <w:szCs w:val="24"/>
                <w:lang w:eastAsia="en-GB"/>
              </w:rPr>
              <w:t xml:space="preserve"> facility vintage</w:t>
            </w:r>
            <w:r w:rsidR="009877BE">
              <w:rPr>
                <w:rFonts w:ascii="Arial" w:hAnsi="Arial" w:cs="Arial"/>
                <w:sz w:val="24"/>
                <w:szCs w:val="24"/>
                <w:lang w:eastAsia="en-GB"/>
              </w:rPr>
              <w:t>;</w:t>
            </w:r>
            <w:r>
              <w:rPr>
                <w:rFonts w:ascii="Arial" w:hAnsi="Arial" w:cs="Arial"/>
                <w:sz w:val="24"/>
                <w:szCs w:val="24"/>
                <w:lang w:eastAsia="en-GB"/>
              </w:rPr>
              <w:t xml:space="preserve"> </w:t>
            </w:r>
            <w:r w:rsidR="009877BE">
              <w:rPr>
                <w:rFonts w:ascii="Arial" w:hAnsi="Arial" w:cs="Arial"/>
                <w:sz w:val="24"/>
                <w:szCs w:val="24"/>
                <w:lang w:eastAsia="en-GB"/>
              </w:rPr>
              <w:t xml:space="preserve">were the </w:t>
            </w:r>
            <w:proofErr w:type="spellStart"/>
            <w:r w:rsidR="009877BE">
              <w:rPr>
                <w:rFonts w:ascii="Arial" w:hAnsi="Arial" w:cs="Arial"/>
                <w:sz w:val="24"/>
                <w:szCs w:val="24"/>
                <w:lang w:eastAsia="en-GB"/>
              </w:rPr>
              <w:t>MWhs</w:t>
            </w:r>
            <w:proofErr w:type="spellEnd"/>
            <w:r w:rsidR="009877BE">
              <w:rPr>
                <w:rFonts w:ascii="Arial" w:hAnsi="Arial" w:cs="Arial"/>
                <w:sz w:val="24"/>
                <w:szCs w:val="24"/>
                <w:lang w:eastAsia="en-GB"/>
              </w:rPr>
              <w:t xml:space="preserve"> reflected in the </w:t>
            </w:r>
            <w:r w:rsidR="00023DF9">
              <w:rPr>
                <w:rFonts w:ascii="Arial" w:hAnsi="Arial" w:cs="Arial"/>
                <w:sz w:val="24"/>
                <w:szCs w:val="24"/>
                <w:lang w:eastAsia="en-GB"/>
              </w:rPr>
              <w:t>REGOs</w:t>
            </w:r>
            <w:r w:rsidR="009877BE">
              <w:rPr>
                <w:rFonts w:ascii="Arial" w:hAnsi="Arial" w:cs="Arial"/>
                <w:sz w:val="24"/>
                <w:szCs w:val="24"/>
                <w:lang w:eastAsia="en-GB"/>
              </w:rPr>
              <w:t xml:space="preserve"> used to meet a supplier regulatory requirement</w:t>
            </w:r>
            <w:r w:rsidR="00E667AC">
              <w:rPr>
                <w:rFonts w:ascii="Arial" w:hAnsi="Arial" w:cs="Arial"/>
                <w:sz w:val="24"/>
                <w:szCs w:val="24"/>
                <w:lang w:eastAsia="en-GB"/>
              </w:rPr>
              <w:t>;</w:t>
            </w:r>
            <w:r w:rsidR="009877BE">
              <w:rPr>
                <w:rFonts w:ascii="Arial" w:hAnsi="Arial" w:cs="Arial"/>
                <w:sz w:val="24"/>
                <w:szCs w:val="24"/>
                <w:lang w:eastAsia="en-GB"/>
              </w:rPr>
              <w:t xml:space="preserve"> are they from a plant receiving public subsidy?</w:t>
            </w:r>
            <w:r w:rsidR="0041599A">
              <w:rPr>
                <w:rStyle w:val="FootnoteReference"/>
                <w:rFonts w:ascii="Arial" w:hAnsi="Arial" w:cs="Arial"/>
                <w:sz w:val="24"/>
                <w:szCs w:val="24"/>
                <w:lang w:eastAsia="en-GB"/>
              </w:rPr>
              <w:footnoteReference w:id="57"/>
            </w:r>
          </w:p>
          <w:p w:rsidR="003038C5" w:rsidRPr="006A6CE3" w:rsidRDefault="003038C5" w:rsidP="00A44CDB">
            <w:pPr>
              <w:pStyle w:val="NoSpacing"/>
              <w:rPr>
                <w:rFonts w:ascii="Arial" w:hAnsi="Arial" w:cs="Arial"/>
                <w:sz w:val="24"/>
                <w:szCs w:val="24"/>
                <w:lang w:bidi="en-US"/>
              </w:rPr>
            </w:pPr>
          </w:p>
        </w:tc>
      </w:tr>
      <w:tr w:rsidR="00FA490B" w:rsidRPr="006A6CE3" w:rsidTr="002B1436">
        <w:tc>
          <w:tcPr>
            <w:tcW w:w="409" w:type="pct"/>
          </w:tcPr>
          <w:p w:rsidR="00FA490B" w:rsidRPr="00553F30" w:rsidRDefault="00FA490B" w:rsidP="00553F30">
            <w:pPr>
              <w:pStyle w:val="NoSpacing"/>
              <w:rPr>
                <w:rFonts w:ascii="Arial" w:hAnsi="Arial" w:cs="Arial"/>
                <w:sz w:val="24"/>
                <w:szCs w:val="24"/>
                <w:lang w:bidi="en-US"/>
              </w:rPr>
            </w:pPr>
            <w:r>
              <w:rPr>
                <w:rFonts w:ascii="Arial" w:hAnsi="Arial" w:cs="Arial"/>
                <w:sz w:val="24"/>
                <w:szCs w:val="24"/>
                <w:lang w:bidi="en-US"/>
              </w:rPr>
              <w:t>2</w:t>
            </w:r>
            <w:r w:rsidR="00EE5A1D">
              <w:rPr>
                <w:rFonts w:ascii="Arial" w:hAnsi="Arial" w:cs="Arial"/>
                <w:sz w:val="24"/>
                <w:szCs w:val="24"/>
                <w:lang w:bidi="en-US"/>
              </w:rPr>
              <w:t>5</w:t>
            </w:r>
          </w:p>
        </w:tc>
        <w:tc>
          <w:tcPr>
            <w:tcW w:w="4591" w:type="pct"/>
          </w:tcPr>
          <w:p w:rsidR="00FA490B" w:rsidRPr="00553F30" w:rsidRDefault="00FA490B" w:rsidP="00A44CDB">
            <w:pPr>
              <w:pStyle w:val="NoSpacing"/>
              <w:rPr>
                <w:rFonts w:ascii="Arial" w:hAnsi="Arial" w:cs="Arial"/>
                <w:sz w:val="24"/>
                <w:szCs w:val="24"/>
                <w:lang w:bidi="en-US"/>
              </w:rPr>
            </w:pPr>
            <w:r w:rsidRPr="00FA490B">
              <w:rPr>
                <w:rFonts w:ascii="Arial" w:hAnsi="Arial" w:cs="Arial"/>
                <w:sz w:val="24"/>
                <w:szCs w:val="24"/>
                <w:lang w:eastAsia="en-GB"/>
              </w:rPr>
              <w:t xml:space="preserve">State in </w:t>
            </w:r>
            <w:proofErr w:type="spellStart"/>
            <w:r w:rsidRPr="00FA490B">
              <w:rPr>
                <w:rFonts w:ascii="Arial" w:hAnsi="Arial" w:cs="Arial"/>
                <w:sz w:val="24"/>
                <w:szCs w:val="24"/>
                <w:lang w:eastAsia="en-GB"/>
              </w:rPr>
              <w:t>MWh</w:t>
            </w:r>
            <w:proofErr w:type="spellEnd"/>
            <w:r w:rsidRPr="00FA490B">
              <w:rPr>
                <w:rFonts w:ascii="Arial" w:hAnsi="Arial" w:cs="Arial"/>
                <w:sz w:val="24"/>
                <w:szCs w:val="24"/>
                <w:lang w:eastAsia="en-GB"/>
              </w:rPr>
              <w:t xml:space="preserve"> the amount of electricity generated from owned or controlled sources. State if the owned or controlled source is onsite or offsite.</w:t>
            </w:r>
          </w:p>
        </w:tc>
      </w:tr>
      <w:tr w:rsidR="00FA490B" w:rsidRPr="006A6CE3" w:rsidTr="002B1436">
        <w:tc>
          <w:tcPr>
            <w:tcW w:w="409" w:type="pct"/>
          </w:tcPr>
          <w:p w:rsidR="00FA490B" w:rsidRPr="00553F30" w:rsidRDefault="00FA490B" w:rsidP="00553F30">
            <w:pPr>
              <w:pStyle w:val="NoSpacing"/>
              <w:rPr>
                <w:rFonts w:ascii="Arial" w:hAnsi="Arial" w:cs="Arial"/>
                <w:sz w:val="24"/>
                <w:szCs w:val="24"/>
                <w:lang w:bidi="en-US"/>
              </w:rPr>
            </w:pPr>
            <w:r>
              <w:rPr>
                <w:rFonts w:ascii="Arial" w:hAnsi="Arial" w:cs="Arial"/>
                <w:sz w:val="24"/>
                <w:szCs w:val="24"/>
                <w:lang w:bidi="en-US"/>
              </w:rPr>
              <w:t>2</w:t>
            </w:r>
            <w:r w:rsidR="00EE5A1D">
              <w:rPr>
                <w:rFonts w:ascii="Arial" w:hAnsi="Arial" w:cs="Arial"/>
                <w:sz w:val="24"/>
                <w:szCs w:val="24"/>
                <w:lang w:bidi="en-US"/>
              </w:rPr>
              <w:t>6</w:t>
            </w:r>
          </w:p>
        </w:tc>
        <w:tc>
          <w:tcPr>
            <w:tcW w:w="4591" w:type="pct"/>
          </w:tcPr>
          <w:p w:rsidR="00FA490B" w:rsidRPr="00553F30" w:rsidRDefault="00FA490B" w:rsidP="00E204D9">
            <w:pPr>
              <w:pStyle w:val="NoSpacing"/>
              <w:rPr>
                <w:rFonts w:ascii="Arial" w:hAnsi="Arial" w:cs="Arial"/>
                <w:sz w:val="24"/>
                <w:szCs w:val="24"/>
                <w:lang w:bidi="en-US"/>
              </w:rPr>
            </w:pPr>
            <w:r w:rsidRPr="00FA490B">
              <w:rPr>
                <w:rFonts w:ascii="Arial" w:hAnsi="Arial" w:cs="Arial"/>
                <w:sz w:val="24"/>
                <w:szCs w:val="24"/>
                <w:lang w:eastAsia="en-GB"/>
              </w:rPr>
              <w:t xml:space="preserve">State if applicable in </w:t>
            </w:r>
            <w:proofErr w:type="spellStart"/>
            <w:r w:rsidRPr="00FA490B">
              <w:rPr>
                <w:rFonts w:ascii="Arial" w:hAnsi="Arial" w:cs="Arial"/>
                <w:sz w:val="24"/>
                <w:szCs w:val="24"/>
                <w:lang w:eastAsia="en-GB"/>
              </w:rPr>
              <w:t>MWh</w:t>
            </w:r>
            <w:proofErr w:type="spellEnd"/>
            <w:r w:rsidRPr="00FA490B">
              <w:rPr>
                <w:rFonts w:ascii="Arial" w:hAnsi="Arial" w:cs="Arial"/>
                <w:sz w:val="24"/>
                <w:szCs w:val="24"/>
                <w:lang w:eastAsia="en-GB"/>
              </w:rPr>
              <w:t xml:space="preserve"> the amount of own generated renewable electricity exported to the grid and if this is backed by REGOs within the UK.</w:t>
            </w:r>
          </w:p>
        </w:tc>
      </w:tr>
      <w:tr w:rsidR="00FA490B" w:rsidRPr="006A6CE3" w:rsidTr="002B1436">
        <w:tc>
          <w:tcPr>
            <w:tcW w:w="409" w:type="pct"/>
          </w:tcPr>
          <w:p w:rsidR="00FA490B" w:rsidRPr="00553F30" w:rsidRDefault="00FA490B" w:rsidP="00553F30">
            <w:pPr>
              <w:pStyle w:val="NoSpacing"/>
              <w:rPr>
                <w:rFonts w:ascii="Arial" w:hAnsi="Arial" w:cs="Arial"/>
                <w:sz w:val="24"/>
                <w:szCs w:val="24"/>
                <w:lang w:bidi="en-US"/>
              </w:rPr>
            </w:pPr>
            <w:r w:rsidRPr="00553F30">
              <w:rPr>
                <w:rFonts w:ascii="Arial" w:hAnsi="Arial" w:cs="Arial"/>
                <w:sz w:val="24"/>
                <w:szCs w:val="24"/>
                <w:lang w:bidi="en-US"/>
              </w:rPr>
              <w:t>2</w:t>
            </w:r>
            <w:r w:rsidR="00EE5A1D">
              <w:rPr>
                <w:rFonts w:ascii="Arial" w:hAnsi="Arial" w:cs="Arial"/>
                <w:sz w:val="24"/>
                <w:szCs w:val="24"/>
                <w:lang w:bidi="en-US"/>
              </w:rPr>
              <w:t>7</w:t>
            </w:r>
          </w:p>
        </w:tc>
        <w:tc>
          <w:tcPr>
            <w:tcW w:w="4591" w:type="pct"/>
          </w:tcPr>
          <w:p w:rsidR="00FA490B" w:rsidRPr="00553F30" w:rsidRDefault="00FA490B" w:rsidP="00E204D9">
            <w:pPr>
              <w:pStyle w:val="NoSpacing"/>
              <w:rPr>
                <w:rFonts w:ascii="Arial" w:hAnsi="Arial" w:cs="Arial"/>
                <w:sz w:val="24"/>
                <w:szCs w:val="24"/>
                <w:lang w:bidi="en-US"/>
              </w:rPr>
            </w:pPr>
            <w:r w:rsidRPr="00553F30">
              <w:rPr>
                <w:rFonts w:ascii="Arial" w:hAnsi="Arial" w:cs="Arial"/>
                <w:sz w:val="24"/>
                <w:szCs w:val="24"/>
                <w:lang w:bidi="en-US"/>
              </w:rPr>
              <w:t xml:space="preserve">State in </w:t>
            </w:r>
            <w:proofErr w:type="spellStart"/>
            <w:r w:rsidRPr="00553F30">
              <w:rPr>
                <w:rFonts w:ascii="Arial" w:hAnsi="Arial" w:cs="Arial"/>
                <w:sz w:val="24"/>
                <w:szCs w:val="24"/>
                <w:lang w:bidi="en-US"/>
              </w:rPr>
              <w:t>MWh</w:t>
            </w:r>
            <w:proofErr w:type="spellEnd"/>
            <w:r w:rsidRPr="00553F30">
              <w:rPr>
                <w:rFonts w:ascii="Arial" w:hAnsi="Arial" w:cs="Arial"/>
                <w:sz w:val="24"/>
                <w:szCs w:val="24"/>
                <w:lang w:bidi="en-US"/>
              </w:rPr>
              <w:t xml:space="preserve"> the amount of heat generated from owned or controlled sources. State if the owned or controlled source if offsite or onsite.</w:t>
            </w:r>
          </w:p>
        </w:tc>
      </w:tr>
    </w:tbl>
    <w:p w:rsidR="00913351" w:rsidRPr="006A6CE3" w:rsidRDefault="00913351" w:rsidP="00E204D9">
      <w:pPr>
        <w:rPr>
          <w:rFonts w:cs="Arial"/>
          <w:color w:val="000000"/>
        </w:rPr>
      </w:pPr>
    </w:p>
    <w:p w:rsidR="00913351" w:rsidRDefault="00913351" w:rsidP="00C06844">
      <w:pPr>
        <w:pStyle w:val="Heading1"/>
      </w:pPr>
      <w:r w:rsidRPr="006A6CE3">
        <w:rPr>
          <w:color w:val="000000"/>
        </w:rPr>
        <w:br w:type="page"/>
      </w:r>
      <w:bookmarkStart w:id="151" w:name="_ANNEX_F:_How"/>
      <w:bookmarkStart w:id="152" w:name="_ANNEX_G:_Example"/>
      <w:bookmarkStart w:id="153" w:name="_ANNEX_I:_Example"/>
      <w:bookmarkStart w:id="154" w:name="_ANNEX_I:_How"/>
      <w:bookmarkStart w:id="155" w:name="_ANNEX_J:_How"/>
      <w:bookmarkStart w:id="156" w:name="Chapter_4"/>
      <w:bookmarkStart w:id="157" w:name="_Toc358054484"/>
      <w:bookmarkStart w:id="158" w:name="_Toc358054568"/>
      <w:bookmarkStart w:id="159" w:name="_Toc358060208"/>
      <w:bookmarkStart w:id="160" w:name="_Toc358302277"/>
      <w:bookmarkStart w:id="161" w:name="_Toc380763566"/>
      <w:bookmarkEnd w:id="151"/>
      <w:bookmarkEnd w:id="152"/>
      <w:bookmarkEnd w:id="153"/>
      <w:bookmarkEnd w:id="154"/>
      <w:bookmarkEnd w:id="155"/>
      <w:r w:rsidRPr="006A6CE3">
        <w:lastRenderedPageBreak/>
        <w:t>Chapter 4:  Water</w:t>
      </w:r>
      <w:bookmarkEnd w:id="156"/>
      <w:bookmarkEnd w:id="157"/>
      <w:bookmarkEnd w:id="158"/>
      <w:bookmarkEnd w:id="159"/>
      <w:bookmarkEnd w:id="160"/>
      <w:bookmarkEnd w:id="161"/>
    </w:p>
    <w:p w:rsidR="00913351" w:rsidRPr="006A6CE3" w:rsidRDefault="00913351" w:rsidP="00E204D9">
      <w:pPr>
        <w:spacing w:line="240" w:lineRule="auto"/>
        <w:rPr>
          <w:rFonts w:cs="Arial"/>
        </w:rPr>
      </w:pPr>
      <w:r w:rsidRPr="006A6CE3">
        <w:rPr>
          <w:rFonts w:cs="Arial"/>
        </w:rPr>
        <w:t>This chapter covers the impact that water and its use can have on your business, ways to measure and report on it and water use in:</w:t>
      </w:r>
    </w:p>
    <w:p w:rsidR="00913351" w:rsidRPr="006A6CE3" w:rsidRDefault="00913351" w:rsidP="0086258B">
      <w:pPr>
        <w:numPr>
          <w:ilvl w:val="0"/>
          <w:numId w:val="9"/>
        </w:numPr>
        <w:spacing w:before="120" w:after="240" w:line="240" w:lineRule="auto"/>
        <w:rPr>
          <w:rFonts w:cs="Arial"/>
        </w:rPr>
      </w:pPr>
      <w:r w:rsidRPr="006A6CE3">
        <w:rPr>
          <w:rFonts w:cs="Arial"/>
        </w:rPr>
        <w:t xml:space="preserve">your direct operations; and </w:t>
      </w:r>
    </w:p>
    <w:p w:rsidR="00913351" w:rsidRPr="006A6CE3" w:rsidRDefault="00913351" w:rsidP="0086258B">
      <w:pPr>
        <w:numPr>
          <w:ilvl w:val="0"/>
          <w:numId w:val="9"/>
        </w:numPr>
        <w:spacing w:before="120" w:after="240" w:line="240" w:lineRule="auto"/>
        <w:rPr>
          <w:rFonts w:cs="Arial"/>
        </w:rPr>
      </w:pPr>
      <w:proofErr w:type="gramStart"/>
      <w:r w:rsidRPr="006A6CE3">
        <w:rPr>
          <w:rFonts w:cs="Arial"/>
        </w:rPr>
        <w:t>your</w:t>
      </w:r>
      <w:proofErr w:type="gramEnd"/>
      <w:r w:rsidRPr="006A6CE3">
        <w:rPr>
          <w:rFonts w:cs="Arial"/>
        </w:rPr>
        <w:t xml:space="preserve"> supply chain.</w:t>
      </w:r>
    </w:p>
    <w:p w:rsidR="00913351" w:rsidRPr="006A6CE3" w:rsidRDefault="00913351" w:rsidP="00E204D9">
      <w:pPr>
        <w:spacing w:line="240" w:lineRule="auto"/>
        <w:rPr>
          <w:rFonts w:cs="Arial"/>
        </w:rPr>
      </w:pPr>
      <w:r w:rsidRPr="006A6CE3">
        <w:rPr>
          <w:rFonts w:cs="Arial"/>
        </w:rPr>
        <w:t xml:space="preserve">There is also information on a range of tools available to help you evaluate or understand the implications of water as a resource in your </w:t>
      </w:r>
      <w:r w:rsidR="00E82D56" w:rsidRPr="006A6CE3">
        <w:rPr>
          <w:rFonts w:cs="Arial"/>
        </w:rPr>
        <w:t xml:space="preserve">business in Annex I. The annex </w:t>
      </w:r>
      <w:r w:rsidRPr="006A6CE3">
        <w:rPr>
          <w:rFonts w:cs="Arial"/>
        </w:rPr>
        <w:t>explores in greater detail the background behind the reporting recommendations below.</w:t>
      </w:r>
    </w:p>
    <w:p w:rsidR="00913351" w:rsidRPr="006A6CE3" w:rsidRDefault="00913351" w:rsidP="00E204D9">
      <w:pPr>
        <w:spacing w:line="240" w:lineRule="auto"/>
        <w:rPr>
          <w:rFonts w:cs="Arial"/>
        </w:rPr>
      </w:pPr>
      <w:r w:rsidRPr="006A6CE3">
        <w:rPr>
          <w:rFonts w:cs="Arial"/>
        </w:rPr>
        <w:t>Chapter 7 on emissions gives information on discharge consents and emissions of nutrients, organic pollutants and metals to water. Chapter 5 on waste covers waste water alongside information on discharge consents.</w:t>
      </w:r>
    </w:p>
    <w:p w:rsidR="00913351" w:rsidRPr="006A6CE3" w:rsidRDefault="00913351" w:rsidP="00E204D9">
      <w:pPr>
        <w:pStyle w:val="Heading2"/>
        <w:rPr>
          <w:rFonts w:cs="Arial"/>
        </w:rPr>
      </w:pPr>
      <w:bookmarkStart w:id="162" w:name="_Why_this_matters"/>
      <w:bookmarkStart w:id="163" w:name="_Toc358054485"/>
      <w:bookmarkStart w:id="164" w:name="_Toc358054569"/>
      <w:bookmarkStart w:id="165" w:name="_Toc358060209"/>
      <w:bookmarkStart w:id="166" w:name="_Toc358302278"/>
      <w:bookmarkStart w:id="167" w:name="_Toc380763567"/>
      <w:bookmarkEnd w:id="162"/>
      <w:r w:rsidRPr="006A6CE3">
        <w:rPr>
          <w:rFonts w:cs="Arial"/>
        </w:rPr>
        <w:t>Why this matters to business</w:t>
      </w:r>
      <w:bookmarkEnd w:id="163"/>
      <w:bookmarkEnd w:id="164"/>
      <w:bookmarkEnd w:id="165"/>
      <w:bookmarkEnd w:id="166"/>
      <w:bookmarkEnd w:id="167"/>
    </w:p>
    <w:p w:rsidR="00913351" w:rsidRPr="006A6CE3" w:rsidRDefault="00913351" w:rsidP="00E204D9">
      <w:pPr>
        <w:spacing w:line="240" w:lineRule="auto"/>
        <w:rPr>
          <w:rFonts w:cs="Arial"/>
          <w:lang w:eastAsia="en-GB"/>
        </w:rPr>
      </w:pPr>
      <w:r w:rsidRPr="006A6CE3">
        <w:rPr>
          <w:rFonts w:cs="Arial"/>
          <w:lang w:eastAsia="en-GB"/>
        </w:rPr>
        <w:t xml:space="preserve">Good management of water resources can provide opportunities to build relationships with local communities, demonstrate leadership, improve or maintain brand reputation, and reduce costs. </w:t>
      </w:r>
    </w:p>
    <w:p w:rsidR="00913351" w:rsidRPr="006A6CE3" w:rsidRDefault="00913351" w:rsidP="00E204D9">
      <w:pPr>
        <w:spacing w:line="240" w:lineRule="auto"/>
        <w:rPr>
          <w:rFonts w:cs="Arial"/>
        </w:rPr>
      </w:pPr>
      <w:r w:rsidRPr="006A6CE3">
        <w:rPr>
          <w:rFonts w:cs="Arial"/>
        </w:rPr>
        <w:t xml:space="preserve">By understanding your use of water you will be able to consider efficiency measures leading to direct cost savings.  There are number of basic steps you can take to reduce water use and wastage in your own buildings and operations. Simply ensuring that fixtures and fittings are water efficient and educating staff to use them in a more sustainable way,  will help reduce water usage. Water audits are available through most water companies and suppliers.  </w:t>
      </w:r>
      <w:r w:rsidRPr="006A6CE3">
        <w:rPr>
          <w:rFonts w:cs="Arial"/>
          <w:lang w:eastAsia="en-GB"/>
        </w:rPr>
        <w:t>There is also more about resource efficiency in chapter 6.</w:t>
      </w:r>
    </w:p>
    <w:p w:rsidR="00913351" w:rsidRPr="006A6CE3" w:rsidRDefault="00913351" w:rsidP="00E204D9">
      <w:pPr>
        <w:spacing w:line="240" w:lineRule="auto"/>
        <w:rPr>
          <w:rFonts w:cs="Arial"/>
          <w:lang w:eastAsia="en-GB"/>
        </w:rPr>
      </w:pPr>
      <w:r w:rsidRPr="006A6CE3">
        <w:rPr>
          <w:rFonts w:cs="Arial"/>
          <w:lang w:eastAsia="en-GB"/>
        </w:rPr>
        <w:t xml:space="preserve">There are risks to businesses concerning water that fall into four broad categories: physical, reputational, regulatory, and litigation risk and more detail can be found in annex I. </w:t>
      </w:r>
    </w:p>
    <w:p w:rsidR="00913351" w:rsidRPr="006A6CE3" w:rsidRDefault="00913351" w:rsidP="00E204D9">
      <w:pPr>
        <w:pStyle w:val="Heading2"/>
        <w:rPr>
          <w:rFonts w:cs="Arial"/>
        </w:rPr>
      </w:pPr>
      <w:bookmarkStart w:id="168" w:name="_Toc358054486"/>
      <w:bookmarkStart w:id="169" w:name="_Toc358054570"/>
      <w:bookmarkStart w:id="170" w:name="_Toc358060210"/>
      <w:bookmarkStart w:id="171" w:name="_Toc358302279"/>
      <w:bookmarkStart w:id="172" w:name="_Toc380763568"/>
      <w:r w:rsidRPr="006A6CE3">
        <w:rPr>
          <w:rFonts w:cs="Arial"/>
        </w:rPr>
        <w:t>What to measure and what to report</w:t>
      </w:r>
      <w:bookmarkEnd w:id="168"/>
      <w:bookmarkEnd w:id="169"/>
      <w:bookmarkEnd w:id="170"/>
      <w:bookmarkEnd w:id="171"/>
      <w:bookmarkEnd w:id="172"/>
      <w:r w:rsidRPr="006A6CE3">
        <w:rPr>
          <w:rFonts w:cs="Arial"/>
        </w:rPr>
        <w:t xml:space="preserve"> </w:t>
      </w:r>
    </w:p>
    <w:p w:rsidR="00913351" w:rsidRPr="006A6CE3" w:rsidRDefault="00913351" w:rsidP="00E204D9">
      <w:pPr>
        <w:rPr>
          <w:rFonts w:cs="Arial"/>
        </w:rPr>
      </w:pPr>
      <w:r w:rsidRPr="006A6CE3">
        <w:rPr>
          <w:rFonts w:cs="Arial"/>
        </w:rPr>
        <w:t xml:space="preserve">A first step in considering your water is to understand where your supply comes from:  is your water abstracted, supplied, collected/harvested or a mixture of these?  </w:t>
      </w:r>
    </w:p>
    <w:p w:rsidR="00913351" w:rsidRPr="006A6CE3" w:rsidRDefault="00913351" w:rsidP="00E204D9">
      <w:pPr>
        <w:rPr>
          <w:rFonts w:cs="Arial"/>
        </w:rPr>
      </w:pPr>
      <w:r w:rsidRPr="006A6CE3">
        <w:rPr>
          <w:rFonts w:cs="Arial"/>
        </w:rPr>
        <w:t xml:space="preserve">Your water company should be able to provide you with all the detail you need regarding water supplied to you.  If you abstract water, compliance with abstraction consents, such as those provided by the Environment Agency </w:t>
      </w:r>
      <w:r w:rsidRPr="006A6CE3">
        <w:rPr>
          <w:rFonts w:cs="Arial"/>
        </w:rPr>
        <w:lastRenderedPageBreak/>
        <w:t xml:space="preserve">should be reported. The majority of charges are levied according to the licensed volume, but actual volumes abstracted are reported to the Environment Agency in England and Wales, SEPA in Scotland and the DOENI in Northern Ireland. The data provided for this can be used for your reporting.  If exact figures cannot be given, estimation techniques should be used.  Direct abstraction should be reported as the volume taken, not the licensed volume, per annum. </w:t>
      </w:r>
    </w:p>
    <w:p w:rsidR="00913351" w:rsidRPr="006A6CE3" w:rsidRDefault="00913351" w:rsidP="00E204D9">
      <w:pPr>
        <w:rPr>
          <w:rFonts w:cs="Arial"/>
        </w:rPr>
      </w:pPr>
      <w:r w:rsidRPr="006A6CE3">
        <w:rPr>
          <w:rFonts w:cs="Arial"/>
        </w:rPr>
        <w:t xml:space="preserve">You should have systems in place in to identify where your water has been re-used, recycled, returned to source or discharged to sewer.  From the figures of your total volume of water used (both supplied and abstracted), confirm the proportion of this that is reused, and the amount and quality that is returned to source, via consented discharge to a water course, direct to sewer or elsewhere. This data should be reported in m3/year against the volume of water used, and the volume of water abstracted. If an exact figure cannot be given, estimation techniques should be used based on flow rates. </w:t>
      </w:r>
    </w:p>
    <w:p w:rsidR="00913351" w:rsidRPr="006A6CE3" w:rsidRDefault="00913351" w:rsidP="00E204D9">
      <w:pPr>
        <w:rPr>
          <w:rFonts w:cs="Arial"/>
        </w:rPr>
      </w:pPr>
      <w:r w:rsidRPr="006A6CE3">
        <w:rPr>
          <w:rFonts w:cs="Arial"/>
        </w:rPr>
        <w:t xml:space="preserve">If you have made any investment into technologies that aim to improve your water efficiency you may wish to report on these and any targets that you have set. Information and general guidance on how your organisation can improve its water efficiency can be found at </w:t>
      </w:r>
      <w:hyperlink r:id="rId60" w:history="1">
        <w:r w:rsidRPr="006A6CE3">
          <w:rPr>
            <w:rStyle w:val="Hyperlink"/>
            <w:rFonts w:cs="Arial"/>
          </w:rPr>
          <w:t>http://www.wrap.org.uk/</w:t>
        </w:r>
      </w:hyperlink>
      <w:r w:rsidRPr="006A6CE3">
        <w:rPr>
          <w:rFonts w:cs="Arial"/>
        </w:rPr>
        <w:t xml:space="preserve"> </w:t>
      </w:r>
    </w:p>
    <w:p w:rsidR="00913351" w:rsidRPr="006A6CE3" w:rsidRDefault="00913351" w:rsidP="006A6A56">
      <w:pPr>
        <w:rPr>
          <w:rFonts w:cs="Arial"/>
        </w:rPr>
      </w:pPr>
      <w:r w:rsidRPr="006A6CE3">
        <w:rPr>
          <w:rFonts w:cs="Arial"/>
        </w:rPr>
        <w:t>For reporting there are three key actions:</w:t>
      </w:r>
    </w:p>
    <w:p w:rsidR="00913351" w:rsidRPr="006A6CE3" w:rsidRDefault="00913351" w:rsidP="0086258B">
      <w:pPr>
        <w:numPr>
          <w:ilvl w:val="0"/>
          <w:numId w:val="52"/>
        </w:numPr>
        <w:rPr>
          <w:rFonts w:cs="Arial"/>
        </w:rPr>
      </w:pPr>
      <w:r w:rsidRPr="006A6CE3">
        <w:rPr>
          <w:rFonts w:cs="Arial"/>
        </w:rPr>
        <w:t>I</w:t>
      </w:r>
      <w:r w:rsidRPr="006A6CE3">
        <w:rPr>
          <w:rFonts w:cs="Arial"/>
          <w:lang w:eastAsia="en-GB"/>
        </w:rPr>
        <w:t>dentify whether any of your direct operations are located in water-scarce regions and if so what percentage of your direct operations are located in those regions.</w:t>
      </w:r>
      <w:r w:rsidRPr="006A6CE3">
        <w:rPr>
          <w:rFonts w:cs="Arial"/>
        </w:rPr>
        <w:t xml:space="preserve"> This will enable you to identify possible risks to your business related to water scarcity and plan for this in any environmental strategy your business develops. If you are unable to do this you should explain why you are not able to identify which of your operations are located in water-stressed regions and whether you have any plans to explore this issue in the future.  </w:t>
      </w:r>
    </w:p>
    <w:p w:rsidR="00913351" w:rsidRPr="006A6CE3" w:rsidRDefault="00913351" w:rsidP="0086258B">
      <w:pPr>
        <w:numPr>
          <w:ilvl w:val="0"/>
          <w:numId w:val="52"/>
        </w:numPr>
        <w:rPr>
          <w:rFonts w:cs="Arial"/>
        </w:rPr>
      </w:pPr>
      <w:r w:rsidRPr="006A6CE3">
        <w:rPr>
          <w:rFonts w:cs="Arial"/>
          <w:szCs w:val="24"/>
        </w:rPr>
        <w:t>establish your water usage</w:t>
      </w:r>
      <w:r w:rsidRPr="006A6CE3">
        <w:rPr>
          <w:rFonts w:cs="Arial"/>
        </w:rPr>
        <w:t xml:space="preserve"> </w:t>
      </w:r>
    </w:p>
    <w:p w:rsidR="00913351" w:rsidRPr="006A6CE3" w:rsidRDefault="00913351" w:rsidP="0086258B">
      <w:pPr>
        <w:numPr>
          <w:ilvl w:val="0"/>
          <w:numId w:val="52"/>
        </w:numPr>
        <w:rPr>
          <w:rFonts w:cs="Arial"/>
        </w:rPr>
      </w:pPr>
      <w:r w:rsidRPr="006A6CE3">
        <w:rPr>
          <w:rFonts w:cs="Arial"/>
        </w:rPr>
        <w:t>have systems in place in to identify where your water has been re-used, recycled, returned to source or discharged to sewer and whether the quality of water returned to source has been improved or degraded. Be aware of, and understand any obligations or instruments related to water.</w:t>
      </w:r>
    </w:p>
    <w:p w:rsidR="00913351" w:rsidRPr="006A6CE3" w:rsidRDefault="00913351" w:rsidP="006A6A56">
      <w:pPr>
        <w:rPr>
          <w:rFonts w:cs="Arial"/>
          <w:b/>
        </w:rPr>
      </w:pPr>
      <w:r w:rsidRPr="006A6CE3">
        <w:rPr>
          <w:rFonts w:cs="Arial"/>
          <w:b/>
        </w:rPr>
        <w:t>In summary you should report:</w:t>
      </w:r>
    </w:p>
    <w:p w:rsidR="00913351" w:rsidRPr="006A6CE3" w:rsidRDefault="00913351" w:rsidP="0086258B">
      <w:pPr>
        <w:numPr>
          <w:ilvl w:val="0"/>
          <w:numId w:val="53"/>
        </w:numPr>
        <w:rPr>
          <w:rFonts w:cs="Arial"/>
        </w:rPr>
      </w:pPr>
      <w:proofErr w:type="gramStart"/>
      <w:r w:rsidRPr="006A6CE3">
        <w:rPr>
          <w:rFonts w:cs="Arial"/>
        </w:rPr>
        <w:t>your</w:t>
      </w:r>
      <w:proofErr w:type="gramEnd"/>
      <w:r w:rsidRPr="006A6CE3">
        <w:rPr>
          <w:rFonts w:cs="Arial"/>
        </w:rPr>
        <w:t xml:space="preserve"> supplied (mains) water used in cubic metres per annum.</w:t>
      </w:r>
    </w:p>
    <w:p w:rsidR="00913351" w:rsidRPr="006A6CE3" w:rsidRDefault="00913351" w:rsidP="0086258B">
      <w:pPr>
        <w:numPr>
          <w:ilvl w:val="0"/>
          <w:numId w:val="53"/>
        </w:numPr>
        <w:rPr>
          <w:rFonts w:cs="Arial"/>
          <w:szCs w:val="24"/>
        </w:rPr>
      </w:pPr>
      <w:proofErr w:type="gramStart"/>
      <w:r w:rsidRPr="006A6CE3">
        <w:rPr>
          <w:rFonts w:cs="Arial"/>
          <w:snapToGrid w:val="0"/>
          <w:szCs w:val="24"/>
        </w:rPr>
        <w:lastRenderedPageBreak/>
        <w:t>direct</w:t>
      </w:r>
      <w:proofErr w:type="gramEnd"/>
      <w:r w:rsidRPr="006A6CE3">
        <w:rPr>
          <w:rFonts w:cs="Arial"/>
          <w:snapToGrid w:val="0"/>
          <w:szCs w:val="24"/>
        </w:rPr>
        <w:t xml:space="preserve"> abstraction of water as the volume taken per annum (not the licensed volume).</w:t>
      </w:r>
    </w:p>
    <w:p w:rsidR="00913351" w:rsidRPr="006A6CE3" w:rsidRDefault="00913351" w:rsidP="0086258B">
      <w:pPr>
        <w:numPr>
          <w:ilvl w:val="0"/>
          <w:numId w:val="53"/>
        </w:numPr>
        <w:rPr>
          <w:rFonts w:cs="Arial"/>
        </w:rPr>
      </w:pPr>
      <w:proofErr w:type="gramStart"/>
      <w:r w:rsidRPr="006A6CE3">
        <w:rPr>
          <w:rFonts w:cs="Arial"/>
        </w:rPr>
        <w:t>water</w:t>
      </w:r>
      <w:proofErr w:type="gramEnd"/>
      <w:r w:rsidRPr="006A6CE3">
        <w:rPr>
          <w:rFonts w:cs="Arial"/>
        </w:rPr>
        <w:t xml:space="preserve"> returned to source in cubic metres per annum against the volume of water supplied, and the volume of water abstracted.  Report on reused/recycled water quality and temperature.  Discharge consent data can be used.</w:t>
      </w:r>
    </w:p>
    <w:p w:rsidR="00913351" w:rsidRPr="006A6CE3" w:rsidRDefault="00913351" w:rsidP="0086258B">
      <w:pPr>
        <w:numPr>
          <w:ilvl w:val="0"/>
          <w:numId w:val="53"/>
        </w:numPr>
        <w:rPr>
          <w:rFonts w:cs="Arial"/>
        </w:rPr>
      </w:pPr>
      <w:proofErr w:type="gramStart"/>
      <w:r w:rsidRPr="006A6CE3">
        <w:rPr>
          <w:rFonts w:cs="Arial"/>
        </w:rPr>
        <w:t>details</w:t>
      </w:r>
      <w:proofErr w:type="gramEnd"/>
      <w:r w:rsidRPr="006A6CE3">
        <w:rPr>
          <w:rFonts w:cs="Arial"/>
        </w:rPr>
        <w:t xml:space="preserve"> if you collect/harvest and use rain water.</w:t>
      </w:r>
    </w:p>
    <w:p w:rsidR="00913351" w:rsidRPr="006A6CE3" w:rsidRDefault="00913351" w:rsidP="0086258B">
      <w:pPr>
        <w:numPr>
          <w:ilvl w:val="0"/>
          <w:numId w:val="53"/>
        </w:numPr>
        <w:rPr>
          <w:rFonts w:cs="Arial"/>
        </w:rPr>
      </w:pPr>
      <w:r w:rsidRPr="006A6CE3">
        <w:rPr>
          <w:rFonts w:cs="Arial"/>
        </w:rPr>
        <w:t xml:space="preserve">a narrative of any investment into technologies that aim to improve your water efficiency </w:t>
      </w:r>
    </w:p>
    <w:p w:rsidR="00913351" w:rsidRPr="006A6CE3" w:rsidRDefault="00913351" w:rsidP="0086258B">
      <w:pPr>
        <w:numPr>
          <w:ilvl w:val="0"/>
          <w:numId w:val="53"/>
        </w:numPr>
        <w:rPr>
          <w:rFonts w:cs="Arial"/>
        </w:rPr>
      </w:pPr>
      <w:r w:rsidRPr="006A6CE3">
        <w:rPr>
          <w:rFonts w:cs="Arial"/>
        </w:rPr>
        <w:t>the above metrics against a base year/targets</w:t>
      </w:r>
    </w:p>
    <w:p w:rsidR="00913351" w:rsidRPr="006A6CE3" w:rsidRDefault="00913351" w:rsidP="0086258B">
      <w:pPr>
        <w:numPr>
          <w:ilvl w:val="0"/>
          <w:numId w:val="53"/>
        </w:numPr>
        <w:rPr>
          <w:rFonts w:cs="Arial"/>
        </w:rPr>
      </w:pPr>
      <w:proofErr w:type="gramStart"/>
      <w:r w:rsidRPr="006A6CE3">
        <w:rPr>
          <w:rFonts w:cs="Arial"/>
        </w:rPr>
        <w:t>any</w:t>
      </w:r>
      <w:proofErr w:type="gramEnd"/>
      <w:r w:rsidRPr="006A6CE3">
        <w:rPr>
          <w:rFonts w:cs="Arial"/>
        </w:rPr>
        <w:t xml:space="preserve"> strategies developed to minimise or manage the impact your water use has on the environment.</w:t>
      </w:r>
    </w:p>
    <w:p w:rsidR="00913351" w:rsidRPr="006A6CE3" w:rsidRDefault="00913351" w:rsidP="00E204D9">
      <w:pPr>
        <w:pStyle w:val="NoSpacing"/>
        <w:spacing w:before="120"/>
        <w:ind w:left="720"/>
        <w:rPr>
          <w:rFonts w:ascii="Arial" w:hAnsi="Arial" w:cs="Arial"/>
        </w:rPr>
      </w:pPr>
    </w:p>
    <w:p w:rsidR="00913351" w:rsidRPr="006A6CE3" w:rsidRDefault="00913351" w:rsidP="00E204D9">
      <w:pPr>
        <w:pStyle w:val="NoSpacing"/>
        <w:rPr>
          <w:rFonts w:ascii="Arial" w:hAnsi="Arial" w:cs="Arial"/>
          <w:sz w:val="24"/>
          <w:szCs w:val="24"/>
        </w:rPr>
      </w:pPr>
      <w:r w:rsidRPr="006A6CE3">
        <w:rPr>
          <w:rFonts w:ascii="Arial" w:hAnsi="Arial" w:cs="Arial"/>
          <w:sz w:val="24"/>
          <w:szCs w:val="24"/>
        </w:rPr>
        <w:t>If you are using any of the tools in annex I you should detail which. The information generated from the tool should be sufficient for the needs and interest of your stakeholders and investors.</w:t>
      </w:r>
    </w:p>
    <w:p w:rsidR="00913351" w:rsidRPr="006A6CE3" w:rsidRDefault="00913351" w:rsidP="00E204D9">
      <w:pPr>
        <w:pStyle w:val="Heading2"/>
        <w:rPr>
          <w:rFonts w:cs="Arial"/>
        </w:rPr>
      </w:pPr>
      <w:bookmarkStart w:id="173" w:name="_Toc358054487"/>
      <w:bookmarkStart w:id="174" w:name="_Toc358054571"/>
      <w:bookmarkStart w:id="175" w:name="_Toc358060211"/>
      <w:bookmarkStart w:id="176" w:name="_Toc358302280"/>
      <w:bookmarkStart w:id="177" w:name="_Toc380763569"/>
      <w:r w:rsidRPr="006A6CE3">
        <w:rPr>
          <w:rFonts w:cs="Arial"/>
        </w:rPr>
        <w:t>Metrics/ Normalisation factors</w:t>
      </w:r>
      <w:bookmarkEnd w:id="173"/>
      <w:bookmarkEnd w:id="174"/>
      <w:bookmarkEnd w:id="175"/>
      <w:bookmarkEnd w:id="176"/>
      <w:bookmarkEnd w:id="177"/>
    </w:p>
    <w:p w:rsidR="00913351" w:rsidRPr="006A6CE3" w:rsidRDefault="00913351" w:rsidP="00E204D9">
      <w:pPr>
        <w:rPr>
          <w:rFonts w:cs="Arial"/>
          <w:snapToGrid w:val="0"/>
        </w:rPr>
      </w:pPr>
      <w:r w:rsidRPr="006A6CE3">
        <w:rPr>
          <w:rFonts w:cs="Arial"/>
          <w:szCs w:val="24"/>
        </w:rPr>
        <w:t xml:space="preserve">You may wish to normalise your water data to enable comparison across product streams, locations, etc. </w:t>
      </w:r>
      <w:hyperlink w:anchor="Action_i_intensity_ratios" w:history="1">
        <w:r w:rsidRPr="003C530C">
          <w:rPr>
            <w:rStyle w:val="Hyperlink"/>
            <w:rFonts w:cs="Arial"/>
            <w:szCs w:val="24"/>
          </w:rPr>
          <w:t>G</w:t>
        </w:r>
        <w:r w:rsidR="001D2D65" w:rsidRPr="003C530C">
          <w:rPr>
            <w:rStyle w:val="Hyperlink"/>
            <w:rFonts w:cs="Arial"/>
            <w:snapToGrid w:val="0"/>
          </w:rPr>
          <w:t>uidance</w:t>
        </w:r>
      </w:hyperlink>
      <w:r w:rsidR="001D2D65">
        <w:rPr>
          <w:rFonts w:cs="Arial"/>
          <w:snapToGrid w:val="0"/>
        </w:rPr>
        <w:t xml:space="preserve"> </w:t>
      </w:r>
      <w:r w:rsidR="00C04BBA">
        <w:rPr>
          <w:rFonts w:cs="Arial"/>
          <w:snapToGrid w:val="0"/>
        </w:rPr>
        <w:t xml:space="preserve">on page 11 </w:t>
      </w:r>
      <w:r w:rsidRPr="00C53604">
        <w:rPr>
          <w:rFonts w:cs="Arial"/>
          <w:snapToGrid w:val="0"/>
        </w:rPr>
        <w:t>provides</w:t>
      </w:r>
      <w:r w:rsidRPr="006A6CE3">
        <w:rPr>
          <w:rFonts w:cs="Arial"/>
          <w:snapToGrid w:val="0"/>
        </w:rPr>
        <w:t xml:space="preserve"> you with </w:t>
      </w:r>
      <w:r w:rsidR="001D2D65">
        <w:rPr>
          <w:rFonts w:cs="Arial"/>
          <w:snapToGrid w:val="0"/>
        </w:rPr>
        <w:t xml:space="preserve">more </w:t>
      </w:r>
      <w:r w:rsidR="001D2D65" w:rsidRPr="006A6CE3">
        <w:rPr>
          <w:rFonts w:cs="Arial"/>
          <w:snapToGrid w:val="0"/>
        </w:rPr>
        <w:t>information</w:t>
      </w:r>
      <w:r w:rsidR="001D2D65">
        <w:rPr>
          <w:rFonts w:cs="Arial"/>
          <w:snapToGrid w:val="0"/>
        </w:rPr>
        <w:t xml:space="preserve"> on</w:t>
      </w:r>
      <w:r w:rsidR="001D2D65" w:rsidRPr="006A6CE3">
        <w:rPr>
          <w:rFonts w:cs="Arial"/>
          <w:snapToGrid w:val="0"/>
        </w:rPr>
        <w:t xml:space="preserve"> intensity</w:t>
      </w:r>
      <w:r w:rsidRPr="006A6CE3">
        <w:rPr>
          <w:rFonts w:cs="Arial"/>
          <w:snapToGrid w:val="0"/>
        </w:rPr>
        <w:t xml:space="preserve"> ratios/metrics. If you are presenting data that is normalized please give a brief explanation of the ratios/metrics you have used. </w:t>
      </w:r>
    </w:p>
    <w:p w:rsidR="00913351" w:rsidRPr="006A6CE3" w:rsidRDefault="00913351" w:rsidP="00E204D9">
      <w:pPr>
        <w:pStyle w:val="Heading2"/>
        <w:rPr>
          <w:rFonts w:cs="Arial"/>
          <w:snapToGrid w:val="0"/>
        </w:rPr>
      </w:pPr>
      <w:bookmarkStart w:id="178" w:name="_What_to_measure"/>
      <w:bookmarkStart w:id="179" w:name="_Toc358054488"/>
      <w:bookmarkStart w:id="180" w:name="_Toc358054572"/>
      <w:bookmarkStart w:id="181" w:name="_Toc358060212"/>
      <w:bookmarkStart w:id="182" w:name="_Toc358302281"/>
      <w:bookmarkStart w:id="183" w:name="_Toc380763570"/>
      <w:bookmarkEnd w:id="178"/>
      <w:r w:rsidRPr="006A6CE3">
        <w:rPr>
          <w:rFonts w:cs="Arial"/>
          <w:lang w:eastAsia="en-GB"/>
        </w:rPr>
        <w:t>W</w:t>
      </w:r>
      <w:r w:rsidRPr="006A6CE3">
        <w:rPr>
          <w:rFonts w:cs="Arial"/>
        </w:rPr>
        <w:t>hat to measure and what to report in your supply chain</w:t>
      </w:r>
      <w:bookmarkEnd w:id="179"/>
      <w:bookmarkEnd w:id="180"/>
      <w:bookmarkEnd w:id="181"/>
      <w:bookmarkEnd w:id="182"/>
      <w:bookmarkEnd w:id="183"/>
    </w:p>
    <w:p w:rsidR="00913351" w:rsidRPr="006A6CE3" w:rsidRDefault="00913351" w:rsidP="001D2D65">
      <w:pPr>
        <w:rPr>
          <w:rFonts w:cs="Arial"/>
        </w:rPr>
      </w:pPr>
      <w:r w:rsidRPr="006A6CE3">
        <w:rPr>
          <w:rFonts w:cs="Arial"/>
          <w:lang w:eastAsia="en-GB"/>
        </w:rPr>
        <w:t>Water scarcity in other parts of the world will impact on UK businesses, especially those that are dependent on imports of materials or components (e.g. food &amp; drink, metals, electronics sectors). With the globalisation of supply chains you may find that there are risks associated with water scarcity either directly to your operations or along your supply chains.</w:t>
      </w:r>
    </w:p>
    <w:p w:rsidR="00913351" w:rsidRPr="006A6CE3" w:rsidRDefault="00913351" w:rsidP="001D2D65">
      <w:pPr>
        <w:rPr>
          <w:rFonts w:cs="Arial"/>
          <w:lang w:eastAsia="en-GB"/>
        </w:rPr>
      </w:pPr>
      <w:r w:rsidRPr="006A6CE3">
        <w:rPr>
          <w:rFonts w:cs="Arial"/>
          <w:lang w:eastAsia="en-GB"/>
        </w:rPr>
        <w:t>When recording your water usage you should, where possible identify whether any part of your supply chain is located in regions vulnerable to drought, pollution or flooding and what percentage is located in those regions.</w:t>
      </w:r>
    </w:p>
    <w:p w:rsidR="00913351" w:rsidRPr="006A6CE3" w:rsidRDefault="00913351" w:rsidP="001D2D65">
      <w:pPr>
        <w:rPr>
          <w:rFonts w:cs="Arial"/>
          <w:lang w:eastAsia="en-GB"/>
        </w:rPr>
      </w:pPr>
      <w:r w:rsidRPr="006A6CE3">
        <w:rPr>
          <w:rFonts w:cs="Arial"/>
          <w:lang w:eastAsia="en-GB"/>
        </w:rPr>
        <w:lastRenderedPageBreak/>
        <w:t xml:space="preserve">For your supply chain, it may not be possible to record quantitative indicators as a measure of your water impact/risk.  Nevertheless, engaging with suppliers and those you supply and starting to identify and record the types of risks you may be exposed to is </w:t>
      </w:r>
      <w:proofErr w:type="gramStart"/>
      <w:r w:rsidRPr="006A6CE3">
        <w:rPr>
          <w:rFonts w:cs="Arial"/>
          <w:lang w:eastAsia="en-GB"/>
        </w:rPr>
        <w:t>key</w:t>
      </w:r>
      <w:proofErr w:type="gramEnd"/>
      <w:r w:rsidRPr="006A6CE3">
        <w:rPr>
          <w:rFonts w:cs="Arial"/>
          <w:lang w:eastAsia="en-GB"/>
        </w:rPr>
        <w:t xml:space="preserve"> to managing them.  A good starting place will often be asking what actions they are taking with respect to water. You should discuss where possible whether they have given any consideration to water efficiency and impacts.</w:t>
      </w:r>
    </w:p>
    <w:p w:rsidR="00913351" w:rsidRPr="006A6CE3" w:rsidRDefault="00913351" w:rsidP="001D2D65">
      <w:pPr>
        <w:rPr>
          <w:rFonts w:cs="Arial"/>
          <w:lang w:eastAsia="en-GB"/>
        </w:rPr>
      </w:pPr>
      <w:r w:rsidRPr="006A6CE3">
        <w:rPr>
          <w:rFonts w:cs="Arial"/>
          <w:lang w:eastAsia="en-GB"/>
        </w:rPr>
        <w:t xml:space="preserve">In annex I there </w:t>
      </w:r>
      <w:r w:rsidR="006A6A56" w:rsidRPr="006A6CE3">
        <w:rPr>
          <w:rFonts w:cs="Arial"/>
          <w:lang w:eastAsia="en-GB"/>
        </w:rPr>
        <w:t>is a list</w:t>
      </w:r>
      <w:r w:rsidRPr="006A6CE3">
        <w:rPr>
          <w:rFonts w:cs="Arial"/>
          <w:lang w:eastAsia="en-GB"/>
        </w:rPr>
        <w:t xml:space="preserve"> of questions regarding the impacts of water use in your supply chain. Going through these will help you understand and identify the risks and opportunities that your business faces and enable you to plan and report accordingly.</w:t>
      </w:r>
    </w:p>
    <w:p w:rsidR="00913351" w:rsidRPr="006A6CE3" w:rsidRDefault="00913351" w:rsidP="00E204D9">
      <w:pPr>
        <w:spacing w:line="240" w:lineRule="auto"/>
        <w:rPr>
          <w:rFonts w:cs="Arial"/>
          <w:b/>
          <w:lang w:eastAsia="en-GB"/>
        </w:rPr>
      </w:pPr>
      <w:r w:rsidRPr="006A6CE3">
        <w:rPr>
          <w:rFonts w:cs="Arial"/>
          <w:b/>
          <w:lang w:eastAsia="en-GB"/>
        </w:rPr>
        <w:t>In summary:</w:t>
      </w:r>
    </w:p>
    <w:p w:rsidR="00913351" w:rsidRPr="006A6CE3" w:rsidRDefault="00913351" w:rsidP="0086258B">
      <w:pPr>
        <w:numPr>
          <w:ilvl w:val="0"/>
          <w:numId w:val="8"/>
        </w:numPr>
        <w:spacing w:before="120" w:after="240" w:line="240" w:lineRule="auto"/>
        <w:rPr>
          <w:rFonts w:cs="Arial"/>
          <w:lang w:eastAsia="en-GB"/>
        </w:rPr>
      </w:pPr>
      <w:r w:rsidRPr="006A6CE3">
        <w:rPr>
          <w:rFonts w:cs="Arial"/>
          <w:lang w:eastAsia="en-GB"/>
        </w:rPr>
        <w:t>Engage with your suppliers to establish where there are potential risks.</w:t>
      </w:r>
    </w:p>
    <w:p w:rsidR="00913351" w:rsidRPr="006A6CE3" w:rsidRDefault="00913351" w:rsidP="0086258B">
      <w:pPr>
        <w:numPr>
          <w:ilvl w:val="0"/>
          <w:numId w:val="8"/>
        </w:numPr>
        <w:spacing w:before="120" w:after="240" w:line="240" w:lineRule="auto"/>
        <w:rPr>
          <w:rFonts w:cs="Arial"/>
          <w:lang w:eastAsia="en-GB"/>
        </w:rPr>
      </w:pPr>
      <w:r w:rsidRPr="006A6CE3">
        <w:rPr>
          <w:rFonts w:cs="Arial"/>
          <w:lang w:eastAsia="en-GB"/>
        </w:rPr>
        <w:t>Establish whether any part (how much) of your supply chain is vulnerable to water impacts.</w:t>
      </w:r>
    </w:p>
    <w:p w:rsidR="00913351" w:rsidRPr="006A6CE3" w:rsidRDefault="00913351" w:rsidP="0086258B">
      <w:pPr>
        <w:numPr>
          <w:ilvl w:val="0"/>
          <w:numId w:val="8"/>
        </w:numPr>
        <w:spacing w:before="120" w:after="240" w:line="240" w:lineRule="auto"/>
        <w:rPr>
          <w:rFonts w:cs="Arial"/>
          <w:lang w:eastAsia="en-GB"/>
        </w:rPr>
      </w:pPr>
      <w:r w:rsidRPr="006A6CE3">
        <w:rPr>
          <w:rFonts w:cs="Arial"/>
          <w:lang w:eastAsia="en-GB"/>
        </w:rPr>
        <w:t>Encourage those in your supply chain to develop their own water efficiency measures and review their own water impacts. You could make it part of any contract review.</w:t>
      </w:r>
    </w:p>
    <w:p w:rsidR="00913351" w:rsidRPr="006A6CE3" w:rsidRDefault="00913351" w:rsidP="0086258B">
      <w:pPr>
        <w:numPr>
          <w:ilvl w:val="0"/>
          <w:numId w:val="8"/>
        </w:numPr>
        <w:spacing w:before="120" w:after="240" w:line="240" w:lineRule="auto"/>
        <w:rPr>
          <w:rFonts w:cs="Arial"/>
          <w:lang w:eastAsia="en-GB"/>
        </w:rPr>
      </w:pPr>
      <w:r w:rsidRPr="006A6CE3">
        <w:rPr>
          <w:rFonts w:cs="Arial"/>
          <w:lang w:eastAsia="en-GB"/>
        </w:rPr>
        <w:t>Have contingency plans for managing any risks.</w:t>
      </w:r>
    </w:p>
    <w:p w:rsidR="00913351" w:rsidRPr="006A6CE3" w:rsidRDefault="00913351" w:rsidP="00C06844">
      <w:pPr>
        <w:pStyle w:val="Heading1"/>
        <w:rPr>
          <w:color w:val="76923C"/>
          <w:szCs w:val="44"/>
        </w:rPr>
      </w:pPr>
      <w:r w:rsidRPr="006A6CE3">
        <w:rPr>
          <w:lang w:eastAsia="en-GB"/>
        </w:rPr>
        <w:br w:type="page"/>
      </w:r>
      <w:bookmarkStart w:id="184" w:name="_Toc358054489"/>
      <w:bookmarkStart w:id="185" w:name="_Toc358054573"/>
      <w:bookmarkStart w:id="186" w:name="_Toc358060213"/>
      <w:bookmarkStart w:id="187" w:name="_Toc358302282"/>
      <w:bookmarkStart w:id="188" w:name="_Toc380763571"/>
      <w:bookmarkStart w:id="189" w:name="Chapter_5_Waste"/>
      <w:r w:rsidRPr="006A6CE3">
        <w:rPr>
          <w:color w:val="76923C"/>
          <w:szCs w:val="44"/>
        </w:rPr>
        <w:lastRenderedPageBreak/>
        <w:t>Chapter 5:  Waste</w:t>
      </w:r>
      <w:bookmarkEnd w:id="184"/>
      <w:bookmarkEnd w:id="185"/>
      <w:bookmarkEnd w:id="186"/>
      <w:bookmarkEnd w:id="187"/>
      <w:bookmarkEnd w:id="188"/>
      <w:r w:rsidRPr="006A6CE3">
        <w:rPr>
          <w:color w:val="76923C"/>
          <w:szCs w:val="44"/>
        </w:rPr>
        <w:t xml:space="preserve"> </w:t>
      </w:r>
    </w:p>
    <w:bookmarkEnd w:id="189"/>
    <w:p w:rsidR="00913351" w:rsidRPr="006A6CE3" w:rsidRDefault="00913351" w:rsidP="006A6A56">
      <w:pPr>
        <w:rPr>
          <w:rFonts w:eastAsia="Century Schoolbook" w:cs="Arial"/>
          <w:color w:val="000000"/>
          <w:szCs w:val="24"/>
          <w:lang w:eastAsia="en-GB"/>
        </w:rPr>
      </w:pPr>
      <w:r w:rsidRPr="006A6CE3">
        <w:rPr>
          <w:rFonts w:cs="Arial"/>
          <w:szCs w:val="24"/>
        </w:rPr>
        <w:t xml:space="preserve">This chapter covers waste and ways to measure and report on it. </w:t>
      </w:r>
      <w:r w:rsidRPr="006A6CE3">
        <w:rPr>
          <w:rFonts w:eastAsia="Century Schoolbook" w:cs="Arial"/>
          <w:color w:val="000000"/>
          <w:szCs w:val="24"/>
          <w:lang w:eastAsia="en-GB"/>
        </w:rPr>
        <w:t xml:space="preserve">The definition of waste has been in use for over three decades and it is now embedded in the 2008 Waste Framework Directive (Directive 2008/98/EC).  Article 3(1) defines “waste” as:- </w:t>
      </w:r>
    </w:p>
    <w:p w:rsidR="00913351" w:rsidRPr="006A6CE3" w:rsidRDefault="00913351" w:rsidP="006A6A56">
      <w:pPr>
        <w:rPr>
          <w:rFonts w:eastAsia="Century Schoolbook" w:cs="Arial"/>
          <w:color w:val="000000"/>
          <w:szCs w:val="24"/>
          <w:lang w:eastAsia="en-GB"/>
        </w:rPr>
      </w:pPr>
      <w:r w:rsidRPr="006A6CE3">
        <w:rPr>
          <w:rFonts w:eastAsia="Century Schoolbook" w:cs="Arial"/>
          <w:color w:val="000000"/>
          <w:szCs w:val="24"/>
          <w:lang w:eastAsia="en-GB"/>
        </w:rPr>
        <w:t>“…any substance or object which the holder discards or intends or is required to discard…”</w:t>
      </w:r>
    </w:p>
    <w:p w:rsidR="00913351" w:rsidRPr="006A6CE3" w:rsidRDefault="00913351" w:rsidP="006A6A56">
      <w:pPr>
        <w:rPr>
          <w:rFonts w:cs="Arial"/>
          <w:szCs w:val="24"/>
        </w:rPr>
      </w:pPr>
      <w:r w:rsidRPr="006A6CE3">
        <w:rPr>
          <w:rFonts w:cs="Arial"/>
          <w:szCs w:val="24"/>
        </w:rPr>
        <w:t xml:space="preserve">Annex J provides detailed background information regarding the management of waste, the hierarchy of waste and duty of care.  </w:t>
      </w:r>
    </w:p>
    <w:p w:rsidR="00913351" w:rsidRPr="006A6CE3" w:rsidRDefault="00913351" w:rsidP="00BE3068">
      <w:pPr>
        <w:pStyle w:val="Heading2"/>
      </w:pPr>
      <w:bookmarkStart w:id="190" w:name="_Toc358302283"/>
      <w:bookmarkStart w:id="191" w:name="_Toc380763572"/>
      <w:r w:rsidRPr="006A6CE3">
        <w:t>Why this matters to business</w:t>
      </w:r>
      <w:bookmarkEnd w:id="190"/>
      <w:bookmarkEnd w:id="191"/>
    </w:p>
    <w:p w:rsidR="00913351" w:rsidRPr="006A6CE3" w:rsidRDefault="00913351" w:rsidP="006A6A56">
      <w:pPr>
        <w:rPr>
          <w:rFonts w:cs="Arial"/>
          <w:szCs w:val="24"/>
        </w:rPr>
      </w:pPr>
      <w:r w:rsidRPr="006A6CE3">
        <w:rPr>
          <w:rFonts w:cs="Arial"/>
          <w:szCs w:val="24"/>
        </w:rPr>
        <w:t xml:space="preserve">As an organisation waste and its disposal represents a cost, so the measures you take to minimise waste can have a direct financial benefit as well as making your business more environmentally friendly. A growing awareness of the circular economy, with its greater focus on resource efficiency of materials, means that the application of the waste hierarchy becomes all the more important in minimising waste and maximising efficiency. </w:t>
      </w:r>
    </w:p>
    <w:p w:rsidR="00913351" w:rsidRPr="006A6CE3" w:rsidRDefault="00913351" w:rsidP="006A6A56">
      <w:pPr>
        <w:rPr>
          <w:rFonts w:cs="Arial"/>
          <w:color w:val="000000"/>
          <w:szCs w:val="24"/>
        </w:rPr>
      </w:pPr>
      <w:r w:rsidRPr="006A6CE3">
        <w:rPr>
          <w:rFonts w:cs="Arial"/>
          <w:szCs w:val="24"/>
        </w:rPr>
        <w:t>Resource efficiency measures, even basic ones such as reusing packaging and printing double-sided, can contribute to real savings. As part of your overall environmental strategy you should be reviewing your supply chain.  Making changes in your supply chain could produce savings, for example, through re-designing products/processes and services to reduce materials used and design out waste. An introduction to the principals of eco-design is available from:</w:t>
      </w:r>
      <w:r w:rsidRPr="006A6CE3">
        <w:rPr>
          <w:rFonts w:cs="Arial"/>
          <w:color w:val="000000"/>
          <w:szCs w:val="24"/>
        </w:rPr>
        <w:t xml:space="preserve"> </w:t>
      </w:r>
      <w:hyperlink r:id="rId61" w:history="1">
        <w:r w:rsidRPr="006A6CE3">
          <w:rPr>
            <w:rStyle w:val="Hyperlink"/>
            <w:rFonts w:cs="Arial"/>
            <w:szCs w:val="24"/>
          </w:rPr>
          <w:t>http://envirowise.wrap.org.uk/uk/Topics-and-Issues/Eco-Design.html</w:t>
        </w:r>
      </w:hyperlink>
      <w:r w:rsidRPr="006A6CE3">
        <w:rPr>
          <w:rFonts w:cs="Arial"/>
          <w:color w:val="000000"/>
          <w:szCs w:val="24"/>
        </w:rPr>
        <w:t>.</w:t>
      </w:r>
    </w:p>
    <w:p w:rsidR="00913351" w:rsidRPr="006A6CE3" w:rsidRDefault="00913351" w:rsidP="006A6A56">
      <w:pPr>
        <w:rPr>
          <w:rFonts w:cs="Arial"/>
          <w:color w:val="000000"/>
          <w:szCs w:val="24"/>
        </w:rPr>
      </w:pPr>
      <w:r w:rsidRPr="006A6CE3">
        <w:rPr>
          <w:rFonts w:cs="Arial"/>
          <w:szCs w:val="24"/>
        </w:rPr>
        <w:t xml:space="preserve">For more information on resource efficiency please view </w:t>
      </w:r>
      <w:hyperlink w:anchor="_Chapter_6:_" w:history="1">
        <w:r w:rsidRPr="00D82495">
          <w:rPr>
            <w:rStyle w:val="Hyperlink"/>
            <w:rFonts w:cs="Arial"/>
            <w:szCs w:val="24"/>
          </w:rPr>
          <w:t>chapter 6 on</w:t>
        </w:r>
      </w:hyperlink>
      <w:r w:rsidRPr="006A6CE3">
        <w:rPr>
          <w:rFonts w:cs="Arial"/>
          <w:szCs w:val="24"/>
        </w:rPr>
        <w:t xml:space="preserve"> materials and resource efficiency.</w:t>
      </w:r>
    </w:p>
    <w:p w:rsidR="00913351" w:rsidRPr="006A6CE3" w:rsidRDefault="00913351" w:rsidP="00BE3068">
      <w:pPr>
        <w:pStyle w:val="Heading2"/>
      </w:pPr>
      <w:bookmarkStart w:id="192" w:name="_Toc358302284"/>
      <w:bookmarkStart w:id="193" w:name="_Toc380763573"/>
      <w:r w:rsidRPr="006A6CE3">
        <w:t>What to measure and what to report</w:t>
      </w:r>
      <w:bookmarkEnd w:id="192"/>
      <w:bookmarkEnd w:id="193"/>
    </w:p>
    <w:p w:rsidR="00913351" w:rsidRPr="006A6CE3" w:rsidRDefault="00913351" w:rsidP="006A6A56">
      <w:pPr>
        <w:rPr>
          <w:rFonts w:cs="Arial"/>
          <w:szCs w:val="24"/>
        </w:rPr>
      </w:pPr>
      <w:r w:rsidRPr="006A6CE3">
        <w:rPr>
          <w:rFonts w:cs="Arial"/>
          <w:szCs w:val="24"/>
        </w:rPr>
        <w:t>There is a hierarchy of how</w:t>
      </w:r>
      <w:r w:rsidR="006A6A56" w:rsidRPr="006A6CE3">
        <w:rPr>
          <w:rFonts w:cs="Arial"/>
          <w:szCs w:val="24"/>
        </w:rPr>
        <w:t xml:space="preserve"> to deal with your waste which </w:t>
      </w:r>
      <w:r w:rsidRPr="006A6CE3">
        <w:rPr>
          <w:rFonts w:cs="Arial"/>
          <w:szCs w:val="24"/>
        </w:rPr>
        <w:t xml:space="preserve">has legal standing under the 2008 WFD </w:t>
      </w:r>
      <w:r w:rsidRPr="001D2D65">
        <w:rPr>
          <w:rFonts w:cs="Arial"/>
          <w:szCs w:val="24"/>
        </w:rPr>
        <w:t xml:space="preserve">see </w:t>
      </w:r>
      <w:hyperlink w:anchor="_Annex_J:_Waste" w:history="1">
        <w:r w:rsidR="00D82495">
          <w:rPr>
            <w:rStyle w:val="Hyperlink"/>
            <w:rFonts w:cs="Arial"/>
            <w:szCs w:val="24"/>
          </w:rPr>
          <w:t>A</w:t>
        </w:r>
        <w:r w:rsidRPr="001D2D65">
          <w:rPr>
            <w:rStyle w:val="Hyperlink"/>
            <w:rFonts w:cs="Arial"/>
            <w:szCs w:val="24"/>
          </w:rPr>
          <w:t>nnex J</w:t>
        </w:r>
      </w:hyperlink>
      <w:r w:rsidRPr="001D2D65">
        <w:rPr>
          <w:rFonts w:cs="Arial"/>
          <w:szCs w:val="24"/>
        </w:rPr>
        <w:t>.</w:t>
      </w:r>
      <w:r w:rsidRPr="006A6CE3">
        <w:rPr>
          <w:rFonts w:cs="Arial"/>
          <w:szCs w:val="24"/>
        </w:rPr>
        <w:t xml:space="preserve">  The Waste Hierarchy gives priority to waste prevention, followed by activities that prepare waste for re-use (e.g. cleaning, checking, repairing), followed by recycling, then other forms of recovery (including energy from waste). Disposal (e.g. landfill) is regarded as </w:t>
      </w:r>
      <w:r w:rsidRPr="006A6CE3">
        <w:rPr>
          <w:rFonts w:cs="Arial"/>
          <w:szCs w:val="24"/>
        </w:rPr>
        <w:lastRenderedPageBreak/>
        <w:t>the last resort.  Under this you must take responsibility of the waste you produce and, depending on the nature of such waste, ensure that you use the best option on the hierarchy.</w:t>
      </w:r>
    </w:p>
    <w:p w:rsidR="00913351" w:rsidRPr="006A6CE3" w:rsidRDefault="00913351" w:rsidP="00E204D9">
      <w:pPr>
        <w:spacing w:before="0" w:after="0" w:line="240" w:lineRule="auto"/>
        <w:rPr>
          <w:rFonts w:cs="Arial"/>
          <w:szCs w:val="24"/>
        </w:rPr>
      </w:pPr>
    </w:p>
    <w:p w:rsidR="00913351" w:rsidRPr="006A6CE3" w:rsidRDefault="00913351" w:rsidP="00E204D9">
      <w:pPr>
        <w:spacing w:before="0" w:after="0" w:line="240" w:lineRule="auto"/>
        <w:rPr>
          <w:rFonts w:cs="Arial"/>
          <w:szCs w:val="24"/>
        </w:rPr>
      </w:pPr>
      <w:r w:rsidRPr="006A6CE3">
        <w:rPr>
          <w:rFonts w:cs="Arial"/>
          <w:szCs w:val="24"/>
        </w:rPr>
        <w:t xml:space="preserve">You will need to start measuring your waste if you are not </w:t>
      </w:r>
      <w:r w:rsidR="006A6A56" w:rsidRPr="006A6CE3">
        <w:rPr>
          <w:rFonts w:cs="Arial"/>
          <w:szCs w:val="24"/>
        </w:rPr>
        <w:t xml:space="preserve">already </w:t>
      </w:r>
      <w:r w:rsidRPr="006A6CE3">
        <w:rPr>
          <w:rFonts w:cs="Arial"/>
          <w:szCs w:val="24"/>
        </w:rPr>
        <w:t xml:space="preserve">so </w:t>
      </w:r>
      <w:r w:rsidR="006A6A56" w:rsidRPr="006A6CE3">
        <w:rPr>
          <w:rFonts w:cs="Arial"/>
          <w:szCs w:val="24"/>
        </w:rPr>
        <w:t xml:space="preserve">that </w:t>
      </w:r>
      <w:r w:rsidRPr="006A6CE3">
        <w:rPr>
          <w:rFonts w:cs="Arial"/>
          <w:szCs w:val="24"/>
        </w:rPr>
        <w:t>you can reduce it and manage it more sustainably.  If you have a contract with a waste management company, they should be able to provide you with much of the relevant data. Establishing a relationship with your waste contractor is often a key way of understanding the waste you produce.</w:t>
      </w:r>
    </w:p>
    <w:p w:rsidR="00913351" w:rsidRPr="006A6CE3" w:rsidRDefault="00913351" w:rsidP="00E204D9">
      <w:pPr>
        <w:spacing w:before="0" w:after="0" w:line="240" w:lineRule="auto"/>
        <w:rPr>
          <w:rFonts w:cs="Arial"/>
          <w:szCs w:val="24"/>
        </w:rPr>
      </w:pPr>
    </w:p>
    <w:p w:rsidR="00913351" w:rsidRPr="006A6CE3" w:rsidRDefault="00913351" w:rsidP="00E204D9">
      <w:pPr>
        <w:spacing w:before="0" w:after="0" w:line="240" w:lineRule="auto"/>
        <w:rPr>
          <w:rFonts w:cs="Arial"/>
          <w:szCs w:val="24"/>
        </w:rPr>
      </w:pPr>
      <w:r w:rsidRPr="006A6CE3">
        <w:rPr>
          <w:rFonts w:cs="Arial"/>
          <w:szCs w:val="24"/>
        </w:rPr>
        <w:t xml:space="preserve">If you don’t use a waste contractor then you can use estimation techniques that are appropriate to your operations, such as the number and weight of waste containers that leave the organisation over a set period of time. </w:t>
      </w:r>
      <w:proofErr w:type="gramStart"/>
      <w:r w:rsidRPr="006A6CE3">
        <w:rPr>
          <w:rFonts w:cs="Arial"/>
          <w:szCs w:val="24"/>
        </w:rPr>
        <w:t>If the waste is sorted prior to collection (i.e. via recycling bins), then a more detailed measurement of specific waste can be made (e.g. tonnes of glass, cubic meters of paper).</w:t>
      </w:r>
      <w:proofErr w:type="gramEnd"/>
      <w:r w:rsidRPr="006A6CE3">
        <w:rPr>
          <w:rFonts w:cs="Arial"/>
          <w:szCs w:val="24"/>
        </w:rPr>
        <w:t xml:space="preserve"> </w:t>
      </w:r>
    </w:p>
    <w:p w:rsidR="00913351" w:rsidRPr="006A6CE3" w:rsidRDefault="00913351" w:rsidP="00E204D9">
      <w:pPr>
        <w:spacing w:before="0" w:after="0" w:line="240" w:lineRule="auto"/>
        <w:rPr>
          <w:rFonts w:cs="Arial"/>
          <w:szCs w:val="24"/>
        </w:rPr>
      </w:pPr>
    </w:p>
    <w:p w:rsidR="00913351" w:rsidRPr="006A6CE3" w:rsidRDefault="00913351" w:rsidP="00E204D9">
      <w:pPr>
        <w:spacing w:before="0" w:after="0" w:line="240" w:lineRule="auto"/>
        <w:rPr>
          <w:rFonts w:cs="Arial"/>
          <w:color w:val="000000"/>
          <w:szCs w:val="24"/>
        </w:rPr>
      </w:pPr>
      <w:r w:rsidRPr="006A6CE3">
        <w:rPr>
          <w:rFonts w:cs="Arial"/>
          <w:color w:val="000000"/>
          <w:szCs w:val="24"/>
        </w:rPr>
        <w:t>You may already be monitoring and recording your waste through guidance produced by WRAP</w:t>
      </w:r>
      <w:r w:rsidRPr="006A6CE3">
        <w:rPr>
          <w:rStyle w:val="FootnoteReference"/>
          <w:rFonts w:cs="Arial"/>
          <w:color w:val="000000"/>
          <w:szCs w:val="24"/>
        </w:rPr>
        <w:footnoteReference w:id="58"/>
      </w:r>
      <w:r w:rsidRPr="006A6CE3">
        <w:rPr>
          <w:rFonts w:cs="Arial"/>
          <w:color w:val="000000"/>
          <w:szCs w:val="24"/>
        </w:rPr>
        <w:t>, or under regulatory requirements such as WEEE</w:t>
      </w:r>
      <w:r w:rsidRPr="006A6CE3">
        <w:rPr>
          <w:rStyle w:val="FootnoteReference"/>
          <w:rFonts w:cs="Arial"/>
          <w:color w:val="000000"/>
          <w:szCs w:val="24"/>
        </w:rPr>
        <w:footnoteReference w:id="59"/>
      </w:r>
      <w:r w:rsidRPr="006A6CE3">
        <w:rPr>
          <w:rFonts w:cs="Arial"/>
          <w:color w:val="000000"/>
          <w:szCs w:val="24"/>
        </w:rPr>
        <w:t xml:space="preserve">, or via guidance produced by your Trade Association, or using the GRI indicator protocols, and the data produced for these can be used for the purpose of corporate reporting. </w:t>
      </w:r>
    </w:p>
    <w:p w:rsidR="00913351" w:rsidRPr="006A6CE3" w:rsidRDefault="00913351" w:rsidP="00E204D9">
      <w:pPr>
        <w:spacing w:before="0" w:after="0" w:line="240" w:lineRule="auto"/>
        <w:rPr>
          <w:rFonts w:cs="Arial"/>
          <w:szCs w:val="24"/>
        </w:rPr>
      </w:pPr>
    </w:p>
    <w:p w:rsidR="00913351" w:rsidRPr="006A6CE3" w:rsidRDefault="00913351" w:rsidP="00E204D9">
      <w:pPr>
        <w:spacing w:line="240" w:lineRule="auto"/>
        <w:rPr>
          <w:rFonts w:cs="Arial"/>
          <w:b/>
          <w:szCs w:val="24"/>
        </w:rPr>
      </w:pPr>
      <w:r w:rsidRPr="006A6CE3">
        <w:rPr>
          <w:rFonts w:cs="Arial"/>
          <w:b/>
          <w:szCs w:val="24"/>
        </w:rPr>
        <w:t>You should report your waste as follows:</w:t>
      </w:r>
    </w:p>
    <w:p w:rsidR="00913351" w:rsidRPr="006A6CE3" w:rsidRDefault="00913351" w:rsidP="0086258B">
      <w:pPr>
        <w:numPr>
          <w:ilvl w:val="0"/>
          <w:numId w:val="10"/>
        </w:numPr>
        <w:spacing w:before="0" w:after="0" w:line="240" w:lineRule="auto"/>
        <w:rPr>
          <w:rFonts w:cs="Arial"/>
          <w:szCs w:val="24"/>
        </w:rPr>
      </w:pPr>
      <w:r w:rsidRPr="006A6CE3">
        <w:rPr>
          <w:rFonts w:cs="Arial"/>
          <w:szCs w:val="24"/>
        </w:rPr>
        <w:t xml:space="preserve">Total metric tonnes per annum; </w:t>
      </w:r>
    </w:p>
    <w:p w:rsidR="00913351" w:rsidRPr="006A6CE3" w:rsidRDefault="00913351" w:rsidP="0086258B">
      <w:pPr>
        <w:numPr>
          <w:ilvl w:val="0"/>
          <w:numId w:val="10"/>
        </w:numPr>
        <w:spacing w:before="0" w:after="0" w:line="240" w:lineRule="auto"/>
        <w:rPr>
          <w:rFonts w:cs="Arial"/>
          <w:szCs w:val="24"/>
        </w:rPr>
      </w:pPr>
      <w:r w:rsidRPr="006A6CE3">
        <w:rPr>
          <w:rFonts w:cs="Arial"/>
          <w:szCs w:val="24"/>
        </w:rPr>
        <w:t>broken down into separate categories by weight – use the most appropriate ones for the waste you produce (e.g. paper, glass, aluminium, plastics, WEEE,  aggregates, hazardous etc</w:t>
      </w:r>
      <w:r w:rsidR="009C72E8">
        <w:rPr>
          <w:rFonts w:cs="Arial"/>
          <w:szCs w:val="24"/>
        </w:rPr>
        <w:t>.</w:t>
      </w:r>
      <w:r w:rsidRPr="006A6CE3">
        <w:rPr>
          <w:rFonts w:cs="Arial"/>
          <w:szCs w:val="24"/>
        </w:rPr>
        <w:t>); and</w:t>
      </w:r>
    </w:p>
    <w:p w:rsidR="00913351" w:rsidRPr="006A6CE3" w:rsidRDefault="00913351" w:rsidP="0086258B">
      <w:pPr>
        <w:numPr>
          <w:ilvl w:val="0"/>
          <w:numId w:val="10"/>
        </w:numPr>
        <w:spacing w:before="0" w:after="0" w:line="240" w:lineRule="auto"/>
        <w:rPr>
          <w:rFonts w:cs="Arial"/>
          <w:szCs w:val="24"/>
        </w:rPr>
      </w:pPr>
      <w:r w:rsidRPr="006A6CE3">
        <w:rPr>
          <w:rFonts w:cs="Arial"/>
          <w:szCs w:val="24"/>
        </w:rPr>
        <w:t>the final destination of the waste reported as per the hierarchy in annex J (e.g. 30% re-used , 50% recycled, 10% incinerated with energy recovery, 10% to landfill, this can also be presented by weight or volume).</w:t>
      </w:r>
    </w:p>
    <w:p w:rsidR="00913351" w:rsidRPr="006A6CE3" w:rsidRDefault="00913351" w:rsidP="0086258B">
      <w:pPr>
        <w:numPr>
          <w:ilvl w:val="0"/>
          <w:numId w:val="10"/>
        </w:numPr>
        <w:spacing w:before="0" w:after="0" w:line="240" w:lineRule="auto"/>
        <w:rPr>
          <w:rFonts w:cs="Arial"/>
          <w:szCs w:val="24"/>
        </w:rPr>
      </w:pPr>
      <w:proofErr w:type="gramStart"/>
      <w:r w:rsidRPr="006A6CE3">
        <w:rPr>
          <w:rFonts w:cs="Arial"/>
          <w:szCs w:val="24"/>
        </w:rPr>
        <w:t>the</w:t>
      </w:r>
      <w:proofErr w:type="gramEnd"/>
      <w:r w:rsidRPr="006A6CE3">
        <w:rPr>
          <w:rFonts w:cs="Arial"/>
          <w:szCs w:val="24"/>
        </w:rPr>
        <w:t xml:space="preserve"> above metrics against a base year and/or set targets.</w:t>
      </w:r>
    </w:p>
    <w:p w:rsidR="00913351" w:rsidRPr="006A6CE3" w:rsidRDefault="00913351" w:rsidP="0086258B">
      <w:pPr>
        <w:numPr>
          <w:ilvl w:val="0"/>
          <w:numId w:val="10"/>
        </w:numPr>
        <w:spacing w:before="0" w:after="0" w:line="240" w:lineRule="auto"/>
        <w:rPr>
          <w:rFonts w:cs="Arial"/>
          <w:szCs w:val="24"/>
        </w:rPr>
      </w:pPr>
      <w:proofErr w:type="gramStart"/>
      <w:r w:rsidRPr="006A6CE3">
        <w:rPr>
          <w:rFonts w:cs="Arial"/>
          <w:szCs w:val="24"/>
        </w:rPr>
        <w:t>any</w:t>
      </w:r>
      <w:proofErr w:type="gramEnd"/>
      <w:r w:rsidRPr="006A6CE3">
        <w:rPr>
          <w:rFonts w:cs="Arial"/>
          <w:szCs w:val="24"/>
        </w:rPr>
        <w:t xml:space="preserve"> waste prevention activities and the expected benefits (savings) from these. This may include improvements to the design, manufacture and packaging of your products.</w:t>
      </w:r>
    </w:p>
    <w:p w:rsidR="00913351" w:rsidRPr="006A6CE3" w:rsidRDefault="00913351" w:rsidP="0086258B">
      <w:pPr>
        <w:numPr>
          <w:ilvl w:val="0"/>
          <w:numId w:val="10"/>
        </w:numPr>
        <w:spacing w:before="0" w:after="0" w:line="240" w:lineRule="auto"/>
        <w:rPr>
          <w:rFonts w:cs="Arial"/>
          <w:szCs w:val="24"/>
        </w:rPr>
      </w:pPr>
      <w:proofErr w:type="gramStart"/>
      <w:r w:rsidRPr="006A6CE3">
        <w:rPr>
          <w:rFonts w:cs="Arial"/>
          <w:szCs w:val="24"/>
        </w:rPr>
        <w:t>energy</w:t>
      </w:r>
      <w:proofErr w:type="gramEnd"/>
      <w:r w:rsidRPr="006A6CE3">
        <w:rPr>
          <w:rFonts w:cs="Arial"/>
          <w:szCs w:val="24"/>
        </w:rPr>
        <w:t xml:space="preserve"> produced from your waste if you run an industrial process and have an on-site energy-from-waste plant. </w:t>
      </w:r>
    </w:p>
    <w:p w:rsidR="00913351" w:rsidRPr="006A6CE3" w:rsidRDefault="00913351" w:rsidP="0086258B">
      <w:pPr>
        <w:numPr>
          <w:ilvl w:val="0"/>
          <w:numId w:val="10"/>
        </w:numPr>
        <w:spacing w:before="0" w:after="0" w:line="240" w:lineRule="auto"/>
        <w:rPr>
          <w:rFonts w:cs="Arial"/>
          <w:szCs w:val="24"/>
        </w:rPr>
      </w:pPr>
      <w:proofErr w:type="gramStart"/>
      <w:r w:rsidRPr="006A6CE3">
        <w:rPr>
          <w:rFonts w:cs="Arial"/>
          <w:szCs w:val="24"/>
        </w:rPr>
        <w:t>any</w:t>
      </w:r>
      <w:proofErr w:type="gramEnd"/>
      <w:r w:rsidRPr="006A6CE3">
        <w:rPr>
          <w:rFonts w:cs="Arial"/>
          <w:szCs w:val="24"/>
        </w:rPr>
        <w:t xml:space="preserve"> costs reduced from waste which you have sold.</w:t>
      </w:r>
    </w:p>
    <w:p w:rsidR="00913351" w:rsidRPr="006A6CE3" w:rsidRDefault="00913351" w:rsidP="0086258B">
      <w:pPr>
        <w:numPr>
          <w:ilvl w:val="0"/>
          <w:numId w:val="10"/>
        </w:numPr>
        <w:spacing w:before="0" w:after="0" w:line="240" w:lineRule="auto"/>
        <w:rPr>
          <w:rFonts w:cs="Arial"/>
          <w:szCs w:val="24"/>
        </w:rPr>
      </w:pPr>
      <w:proofErr w:type="gramStart"/>
      <w:r w:rsidRPr="006A6CE3">
        <w:rPr>
          <w:rFonts w:cs="Arial"/>
          <w:szCs w:val="24"/>
        </w:rPr>
        <w:t>activities</w:t>
      </w:r>
      <w:proofErr w:type="gramEnd"/>
      <w:r w:rsidRPr="006A6CE3">
        <w:rPr>
          <w:rFonts w:cs="Arial"/>
          <w:szCs w:val="24"/>
        </w:rPr>
        <w:t xml:space="preserve"> undertaken to divert waste from landfill.</w:t>
      </w:r>
    </w:p>
    <w:p w:rsidR="00913351" w:rsidRPr="006A6CE3" w:rsidRDefault="00913351" w:rsidP="00E204D9">
      <w:pPr>
        <w:spacing w:before="0" w:after="0" w:line="240" w:lineRule="auto"/>
        <w:rPr>
          <w:rFonts w:cs="Arial"/>
          <w:b/>
          <w:i/>
          <w:szCs w:val="24"/>
        </w:rPr>
      </w:pPr>
    </w:p>
    <w:p w:rsidR="00913351" w:rsidRPr="006A6CE3" w:rsidRDefault="00913351" w:rsidP="00E204D9">
      <w:pPr>
        <w:spacing w:line="240" w:lineRule="auto"/>
        <w:rPr>
          <w:rFonts w:cs="Arial"/>
          <w:szCs w:val="24"/>
        </w:rPr>
      </w:pPr>
      <w:r w:rsidRPr="006A6CE3">
        <w:rPr>
          <w:rFonts w:cs="Arial"/>
          <w:szCs w:val="24"/>
        </w:rPr>
        <w:lastRenderedPageBreak/>
        <w:t xml:space="preserve">The Government sponsored initiative WRAP (Waste and Resources Action Programme) is set up to provide you with support and guidance. It works closely with a wide range of business sectors and individuals to help them reap the benefits of reducing waste, developing sustainable products and using resources in an efficient way. </w:t>
      </w:r>
      <w:hyperlink r:id="rId62" w:history="1">
        <w:r w:rsidRPr="006A6CE3">
          <w:rPr>
            <w:rStyle w:val="Hyperlink"/>
            <w:rFonts w:cs="Arial"/>
            <w:szCs w:val="24"/>
          </w:rPr>
          <w:t>http://www.wrap.org.uk/business/index.html</w:t>
        </w:r>
      </w:hyperlink>
    </w:p>
    <w:p w:rsidR="00913351" w:rsidRPr="006A6CE3" w:rsidRDefault="00913351" w:rsidP="00E204D9">
      <w:pPr>
        <w:spacing w:before="0" w:after="0" w:line="240" w:lineRule="auto"/>
        <w:rPr>
          <w:rFonts w:cs="Arial"/>
          <w:szCs w:val="24"/>
        </w:rPr>
      </w:pPr>
      <w:r w:rsidRPr="006A6CE3">
        <w:rPr>
          <w:rFonts w:cs="Arial"/>
          <w:color w:val="000000"/>
          <w:szCs w:val="24"/>
        </w:rPr>
        <w:t>There are also initiatives in Scotland and Northern Ireland to guide you such as Zero Waste Scotland and Rethink Waste in Northern Ireland.</w:t>
      </w:r>
    </w:p>
    <w:p w:rsidR="00913351" w:rsidRPr="006A6CE3" w:rsidRDefault="00C93591" w:rsidP="00E204D9">
      <w:pPr>
        <w:spacing w:line="240" w:lineRule="auto"/>
        <w:rPr>
          <w:rFonts w:cs="Arial"/>
          <w:szCs w:val="24"/>
        </w:rPr>
      </w:pPr>
      <w:hyperlink r:id="rId63" w:history="1">
        <w:r w:rsidR="00913351" w:rsidRPr="006A6CE3">
          <w:rPr>
            <w:rStyle w:val="Hyperlink"/>
            <w:rFonts w:cs="Arial"/>
            <w:szCs w:val="24"/>
          </w:rPr>
          <w:t>http://www.zerowastescotland.org.uk/</w:t>
        </w:r>
      </w:hyperlink>
      <w:r w:rsidR="00913351" w:rsidRPr="006A6CE3">
        <w:rPr>
          <w:rFonts w:cs="Arial"/>
          <w:szCs w:val="24"/>
        </w:rPr>
        <w:t xml:space="preserve">; </w:t>
      </w:r>
      <w:hyperlink r:id="rId64" w:history="1">
        <w:r w:rsidR="00913351" w:rsidRPr="006A6CE3">
          <w:rPr>
            <w:rStyle w:val="Hyperlink"/>
            <w:rFonts w:cs="Arial"/>
            <w:szCs w:val="24"/>
          </w:rPr>
          <w:t>http://www.rethinkwasteni.org/</w:t>
        </w:r>
      </w:hyperlink>
    </w:p>
    <w:p w:rsidR="00913351" w:rsidRPr="00BE3068" w:rsidRDefault="00913351" w:rsidP="00BE3068">
      <w:pPr>
        <w:pStyle w:val="Heading2"/>
      </w:pPr>
      <w:bookmarkStart w:id="194" w:name="_Metrics/_Normalisation_factors"/>
      <w:bookmarkStart w:id="195" w:name="_Toc358054490"/>
      <w:bookmarkStart w:id="196" w:name="_Toc358054574"/>
      <w:bookmarkStart w:id="197" w:name="_Toc358060214"/>
      <w:bookmarkStart w:id="198" w:name="_Toc358302285"/>
      <w:bookmarkStart w:id="199" w:name="_Toc380763574"/>
      <w:bookmarkEnd w:id="194"/>
      <w:r w:rsidRPr="00BE3068">
        <w:t>Metrics/ Normalisation factors</w:t>
      </w:r>
      <w:bookmarkEnd w:id="195"/>
      <w:bookmarkEnd w:id="196"/>
      <w:bookmarkEnd w:id="197"/>
      <w:bookmarkEnd w:id="198"/>
      <w:bookmarkEnd w:id="199"/>
    </w:p>
    <w:p w:rsidR="00913351" w:rsidRPr="006A6CE3" w:rsidRDefault="00913351" w:rsidP="00E204D9">
      <w:pPr>
        <w:spacing w:line="240" w:lineRule="auto"/>
        <w:rPr>
          <w:rFonts w:cs="Arial"/>
          <w:snapToGrid w:val="0"/>
        </w:rPr>
      </w:pPr>
      <w:r w:rsidRPr="006A6CE3">
        <w:rPr>
          <w:rFonts w:cs="Arial"/>
          <w:szCs w:val="24"/>
        </w:rPr>
        <w:t xml:space="preserve">You should normalise your waste data to enable comparison across product streams, locations or another metric that is useful to your organisation and/or its investors and stakeholders. </w:t>
      </w:r>
      <w:r w:rsidRPr="006A6CE3">
        <w:rPr>
          <w:rFonts w:cs="Arial"/>
          <w:snapToGrid w:val="0"/>
        </w:rPr>
        <w:t xml:space="preserve">The guidance in the introduction (pg10) provides you with information on intensity ratios/metrics. If you are presenting data that is normalised please give a brief explanation of the ratios/metrics you have used. </w:t>
      </w:r>
    </w:p>
    <w:p w:rsidR="00913351" w:rsidRPr="006A6CE3" w:rsidRDefault="00913351" w:rsidP="00E204D9">
      <w:pPr>
        <w:spacing w:line="240" w:lineRule="auto"/>
        <w:rPr>
          <w:rFonts w:cs="Arial"/>
          <w:szCs w:val="24"/>
        </w:rPr>
      </w:pPr>
    </w:p>
    <w:p w:rsidR="00913351" w:rsidRPr="006A6CE3" w:rsidRDefault="00913351" w:rsidP="00E204D9">
      <w:pPr>
        <w:pStyle w:val="Heading1"/>
        <w:rPr>
          <w:rFonts w:cs="Arial"/>
        </w:rPr>
      </w:pPr>
      <w:bookmarkStart w:id="200" w:name="_Chapter_6:_"/>
      <w:bookmarkEnd w:id="200"/>
      <w:r w:rsidRPr="006A6CE3">
        <w:rPr>
          <w:rFonts w:cs="Arial"/>
        </w:rPr>
        <w:br w:type="page"/>
      </w:r>
      <w:bookmarkStart w:id="201" w:name="Chapter_6"/>
      <w:bookmarkStart w:id="202" w:name="_Toc358054491"/>
      <w:bookmarkStart w:id="203" w:name="_Toc358054575"/>
      <w:bookmarkStart w:id="204" w:name="_Toc358060215"/>
      <w:bookmarkStart w:id="205" w:name="_Toc358302286"/>
      <w:bookmarkStart w:id="206" w:name="_Toc380763575"/>
      <w:r w:rsidRPr="006A6CE3">
        <w:rPr>
          <w:rFonts w:cs="Arial"/>
        </w:rPr>
        <w:lastRenderedPageBreak/>
        <w:t>Chapter 6:  Resource Efficiency and Materials</w:t>
      </w:r>
      <w:bookmarkEnd w:id="201"/>
      <w:bookmarkEnd w:id="202"/>
      <w:bookmarkEnd w:id="203"/>
      <w:bookmarkEnd w:id="204"/>
      <w:bookmarkEnd w:id="205"/>
      <w:bookmarkEnd w:id="206"/>
    </w:p>
    <w:p w:rsidR="00913351" w:rsidRPr="006A6CE3" w:rsidRDefault="00913351" w:rsidP="00E204D9">
      <w:pPr>
        <w:rPr>
          <w:rFonts w:cs="Arial"/>
        </w:rPr>
      </w:pPr>
      <w:r w:rsidRPr="006A6CE3">
        <w:rPr>
          <w:rFonts w:cs="Arial"/>
        </w:rPr>
        <w:t xml:space="preserve">This chapter covers ways to measure and report on materials in two separate ways; </w:t>
      </w:r>
    </w:p>
    <w:p w:rsidR="00913351" w:rsidRPr="006A6CE3" w:rsidRDefault="00913351" w:rsidP="0086258B">
      <w:pPr>
        <w:numPr>
          <w:ilvl w:val="0"/>
          <w:numId w:val="16"/>
        </w:numPr>
        <w:spacing w:before="120" w:after="240"/>
        <w:rPr>
          <w:rFonts w:cs="Arial"/>
        </w:rPr>
      </w:pPr>
      <w:proofErr w:type="gramStart"/>
      <w:r w:rsidRPr="006A6CE3">
        <w:rPr>
          <w:rFonts w:cs="Arial"/>
        </w:rPr>
        <w:t>your</w:t>
      </w:r>
      <w:proofErr w:type="gramEnd"/>
      <w:r w:rsidRPr="006A6CE3">
        <w:rPr>
          <w:rFonts w:cs="Arial"/>
        </w:rPr>
        <w:t xml:space="preserve"> organisation’s use of materials i.e. your resource efficiency. There are very strong and clear links between measures taken to improve your resource efficiency and those to minimise your waste.  </w:t>
      </w:r>
    </w:p>
    <w:p w:rsidR="00913351" w:rsidRPr="006A6CE3" w:rsidRDefault="00913351" w:rsidP="0086258B">
      <w:pPr>
        <w:numPr>
          <w:ilvl w:val="0"/>
          <w:numId w:val="16"/>
        </w:numPr>
        <w:spacing w:before="120" w:after="240"/>
        <w:rPr>
          <w:rFonts w:cs="Arial"/>
        </w:rPr>
      </w:pPr>
      <w:proofErr w:type="gramStart"/>
      <w:r w:rsidRPr="006A6CE3">
        <w:rPr>
          <w:rFonts w:cs="Arial"/>
        </w:rPr>
        <w:t>measuring</w:t>
      </w:r>
      <w:proofErr w:type="gramEnd"/>
      <w:r w:rsidRPr="006A6CE3">
        <w:rPr>
          <w:rFonts w:cs="Arial"/>
        </w:rPr>
        <w:t xml:space="preserve"> and reporting for the materials extractive industries (i.e. oil, coal, gas, peat, minerals, metals, aggregates, biomass and forestry). </w:t>
      </w:r>
    </w:p>
    <w:p w:rsidR="00913351" w:rsidRPr="006A6CE3" w:rsidRDefault="00913351" w:rsidP="00E204D9">
      <w:pPr>
        <w:rPr>
          <w:rFonts w:cs="Arial"/>
          <w:szCs w:val="24"/>
        </w:rPr>
      </w:pPr>
      <w:r w:rsidRPr="006A6CE3">
        <w:rPr>
          <w:rFonts w:cs="Arial"/>
          <w:szCs w:val="24"/>
        </w:rPr>
        <w:t xml:space="preserve">The term “materials” in the context of this guidance is defined as:  </w:t>
      </w:r>
    </w:p>
    <w:p w:rsidR="00913351" w:rsidRPr="006A6CE3" w:rsidRDefault="00913351" w:rsidP="0086258B">
      <w:pPr>
        <w:numPr>
          <w:ilvl w:val="0"/>
          <w:numId w:val="12"/>
        </w:numPr>
        <w:spacing w:before="0" w:after="200"/>
        <w:rPr>
          <w:rFonts w:cs="Arial"/>
          <w:szCs w:val="24"/>
        </w:rPr>
      </w:pPr>
      <w:r w:rsidRPr="006A6CE3">
        <w:rPr>
          <w:rFonts w:cs="Arial"/>
          <w:b/>
          <w:szCs w:val="24"/>
        </w:rPr>
        <w:t>Metals</w:t>
      </w:r>
      <w:r w:rsidRPr="006A6CE3">
        <w:rPr>
          <w:rFonts w:cs="Arial"/>
          <w:szCs w:val="24"/>
        </w:rPr>
        <w:t xml:space="preserve"> </w:t>
      </w:r>
    </w:p>
    <w:p w:rsidR="00913351" w:rsidRPr="006A6CE3" w:rsidRDefault="00913351" w:rsidP="0086258B">
      <w:pPr>
        <w:numPr>
          <w:ilvl w:val="0"/>
          <w:numId w:val="12"/>
        </w:numPr>
        <w:spacing w:before="0" w:after="200"/>
        <w:rPr>
          <w:rFonts w:cs="Arial"/>
          <w:szCs w:val="24"/>
        </w:rPr>
      </w:pPr>
      <w:r w:rsidRPr="006A6CE3">
        <w:rPr>
          <w:rFonts w:cs="Arial"/>
          <w:b/>
          <w:szCs w:val="24"/>
        </w:rPr>
        <w:t>Minerals</w:t>
      </w:r>
      <w:r w:rsidRPr="006A6CE3">
        <w:rPr>
          <w:rFonts w:cs="Arial"/>
          <w:szCs w:val="24"/>
        </w:rPr>
        <w:t xml:space="preserve"> </w:t>
      </w:r>
    </w:p>
    <w:p w:rsidR="00913351" w:rsidRPr="006A6CE3" w:rsidRDefault="00913351" w:rsidP="0086258B">
      <w:pPr>
        <w:numPr>
          <w:ilvl w:val="0"/>
          <w:numId w:val="12"/>
        </w:numPr>
        <w:spacing w:before="0" w:after="200"/>
        <w:rPr>
          <w:rFonts w:cs="Arial"/>
          <w:szCs w:val="24"/>
        </w:rPr>
      </w:pPr>
      <w:r w:rsidRPr="006A6CE3">
        <w:rPr>
          <w:rFonts w:cs="Arial"/>
          <w:b/>
          <w:szCs w:val="24"/>
        </w:rPr>
        <w:t>Fossil fuels</w:t>
      </w:r>
      <w:r w:rsidRPr="006A6CE3">
        <w:rPr>
          <w:rFonts w:cs="Arial"/>
          <w:szCs w:val="24"/>
        </w:rPr>
        <w:t xml:space="preserve"> – coal, oil, gas and peat</w:t>
      </w:r>
    </w:p>
    <w:p w:rsidR="00913351" w:rsidRPr="006A6CE3" w:rsidRDefault="00913351" w:rsidP="0086258B">
      <w:pPr>
        <w:numPr>
          <w:ilvl w:val="0"/>
          <w:numId w:val="12"/>
        </w:numPr>
        <w:spacing w:before="0" w:after="200"/>
        <w:rPr>
          <w:rFonts w:cs="Arial"/>
          <w:szCs w:val="24"/>
        </w:rPr>
      </w:pPr>
      <w:r w:rsidRPr="006A6CE3">
        <w:rPr>
          <w:rFonts w:cs="Arial"/>
          <w:b/>
          <w:szCs w:val="24"/>
        </w:rPr>
        <w:t>Biomass, including forestry</w:t>
      </w:r>
    </w:p>
    <w:p w:rsidR="00913351" w:rsidRPr="006A6CE3" w:rsidRDefault="00913351" w:rsidP="00E204D9">
      <w:pPr>
        <w:pStyle w:val="Heading2"/>
        <w:rPr>
          <w:rFonts w:cs="Arial"/>
          <w:szCs w:val="24"/>
        </w:rPr>
      </w:pPr>
      <w:bookmarkStart w:id="207" w:name="_Toc358054492"/>
      <w:bookmarkStart w:id="208" w:name="_Toc358054576"/>
      <w:bookmarkStart w:id="209" w:name="_Toc358060216"/>
      <w:bookmarkStart w:id="210" w:name="_Toc358302287"/>
      <w:bookmarkStart w:id="211" w:name="_Toc380763576"/>
      <w:r w:rsidRPr="006A6CE3">
        <w:rPr>
          <w:rFonts w:cs="Arial"/>
        </w:rPr>
        <w:t>Why this matters to business</w:t>
      </w:r>
      <w:bookmarkEnd w:id="207"/>
      <w:bookmarkEnd w:id="208"/>
      <w:bookmarkEnd w:id="209"/>
      <w:bookmarkEnd w:id="210"/>
      <w:bookmarkEnd w:id="211"/>
    </w:p>
    <w:p w:rsidR="00913351" w:rsidRPr="006A6CE3" w:rsidRDefault="00913351" w:rsidP="00E204D9">
      <w:pPr>
        <w:rPr>
          <w:rFonts w:cs="Arial"/>
        </w:rPr>
      </w:pPr>
      <w:r w:rsidRPr="006A6CE3">
        <w:rPr>
          <w:rFonts w:cs="Arial"/>
        </w:rPr>
        <w:t xml:space="preserve">There are risks to your organisation in terms of increasing competition for resources, price volatility and potentially interruptions in supply.  These risks are caused by a combination of factors, such as growing worldwide demand for materials, concentration of supply in a small number of countries for some materials, trade restrictions, lack of alternatives, and time lags in the supply response to increased demand.  Improved resource efficiency (reuse, recycling and recovery of resources), is one of the options for mitigating these risks. </w:t>
      </w:r>
    </w:p>
    <w:p w:rsidR="00E17374" w:rsidRDefault="00913351" w:rsidP="00E204D9">
      <w:pPr>
        <w:rPr>
          <w:rFonts w:cs="Arial"/>
          <w:szCs w:val="24"/>
        </w:rPr>
      </w:pPr>
      <w:r w:rsidRPr="006A6CE3">
        <w:rPr>
          <w:rFonts w:cs="Arial"/>
          <w:szCs w:val="24"/>
          <w:lang w:eastAsia="en-GB"/>
        </w:rPr>
        <w:t xml:space="preserve">In recent years it has become increasingly apparent that there is a concern regarding the security of supply of </w:t>
      </w:r>
      <w:r w:rsidRPr="006A6CE3">
        <w:rPr>
          <w:rFonts w:cs="Arial"/>
          <w:b/>
          <w:szCs w:val="24"/>
          <w:lang w:eastAsia="en-GB"/>
        </w:rPr>
        <w:t>critical materials</w:t>
      </w:r>
      <w:r w:rsidRPr="006A6CE3">
        <w:rPr>
          <w:rFonts w:cs="Arial"/>
          <w:szCs w:val="24"/>
          <w:lang w:eastAsia="en-GB"/>
        </w:rPr>
        <w:t xml:space="preserve"> that are used in a wide range of consumer goods and advanced manufacturing. A study for the European Commission has identified 14 economically important metals </w:t>
      </w:r>
      <w:r w:rsidRPr="006A6CE3">
        <w:rPr>
          <w:rFonts w:cs="Arial"/>
          <w:szCs w:val="24"/>
          <w:lang w:eastAsia="en-GB"/>
        </w:rPr>
        <w:lastRenderedPageBreak/>
        <w:t>subject to potential supply interruption</w:t>
      </w:r>
      <w:r w:rsidRPr="006A6CE3">
        <w:rPr>
          <w:rStyle w:val="FootnoteReference"/>
          <w:rFonts w:cs="Arial"/>
          <w:szCs w:val="24"/>
          <w:lang w:eastAsia="en-GB"/>
        </w:rPr>
        <w:footnoteReference w:id="60"/>
      </w:r>
      <w:r w:rsidRPr="006A6CE3">
        <w:rPr>
          <w:rFonts w:cs="Arial"/>
          <w:szCs w:val="24"/>
          <w:lang w:eastAsia="en-GB"/>
        </w:rPr>
        <w:t xml:space="preserve">.  However business use a wide range of metals, minerals and other materials and their criticality to your business will depend on a range of factors, including how important they are to your </w:t>
      </w:r>
      <w:r w:rsidRPr="006A6CE3">
        <w:rPr>
          <w:rFonts w:cs="Arial"/>
          <w:szCs w:val="24"/>
        </w:rPr>
        <w:t xml:space="preserve">operations, the diversity of supply and how easy they may be to substitute for another. </w:t>
      </w:r>
    </w:p>
    <w:p w:rsidR="00913351" w:rsidRPr="006A6CE3" w:rsidRDefault="00913351" w:rsidP="00E204D9">
      <w:pPr>
        <w:rPr>
          <w:rFonts w:cs="Arial"/>
          <w:szCs w:val="24"/>
        </w:rPr>
      </w:pPr>
      <w:r w:rsidRPr="006A6CE3">
        <w:rPr>
          <w:rFonts w:cs="Arial"/>
          <w:szCs w:val="24"/>
          <w:lang w:eastAsia="en-GB"/>
        </w:rPr>
        <w:t xml:space="preserve">The UK has little domestic production of these </w:t>
      </w:r>
      <w:proofErr w:type="gramStart"/>
      <w:r w:rsidRPr="006A6CE3">
        <w:rPr>
          <w:rFonts w:cs="Arial"/>
          <w:szCs w:val="24"/>
          <w:lang w:eastAsia="en-GB"/>
        </w:rPr>
        <w:t>type</w:t>
      </w:r>
      <w:proofErr w:type="gramEnd"/>
      <w:r w:rsidRPr="006A6CE3">
        <w:rPr>
          <w:rFonts w:cs="Arial"/>
          <w:szCs w:val="24"/>
          <w:lang w:eastAsia="en-GB"/>
        </w:rPr>
        <w:t xml:space="preserve"> of precious metals so there is a risk management issue for businesses that use these materials, and others, directly or in their supply chains, including in the products and components they use. In terms of environmental impacts, the issues are the same as for mining of other metals and minerals although the magnitude of the energy and greenhouse gas impacts can be significantly greater than for the more common metals. The Resource Security Action Plan</w:t>
      </w:r>
      <w:r w:rsidRPr="006A6CE3">
        <w:rPr>
          <w:rStyle w:val="FootnoteReference"/>
          <w:rFonts w:cs="Arial"/>
          <w:szCs w:val="24"/>
          <w:lang w:eastAsia="en-GB"/>
        </w:rPr>
        <w:footnoteReference w:id="61"/>
      </w:r>
      <w:r w:rsidRPr="006A6CE3">
        <w:rPr>
          <w:rFonts w:cs="Arial"/>
          <w:szCs w:val="24"/>
          <w:lang w:eastAsia="en-GB"/>
        </w:rPr>
        <w:t xml:space="preserve"> provides an overview of the risks and issues, and the Government’s approach to help you </w:t>
      </w:r>
      <w:r w:rsidRPr="006A6CE3">
        <w:rPr>
          <w:rFonts w:cs="Arial"/>
          <w:szCs w:val="24"/>
        </w:rPr>
        <w:t xml:space="preserve">ensure you are more resilient to changes in supply and price of these materials.  It aims to develop better coordination between businesses and industry and to make sure everyone is armed with information about the availability of these resources to make the right decisions. </w:t>
      </w:r>
    </w:p>
    <w:p w:rsidR="00913351" w:rsidRPr="006A6CE3" w:rsidRDefault="00913351" w:rsidP="00E204D9">
      <w:pPr>
        <w:rPr>
          <w:rFonts w:eastAsia="Century Schoolbook" w:cs="Arial"/>
          <w:lang w:eastAsia="en-GB"/>
        </w:rPr>
      </w:pPr>
      <w:r w:rsidRPr="006A6CE3">
        <w:rPr>
          <w:rFonts w:cs="Arial"/>
        </w:rPr>
        <w:t xml:space="preserve">By improving your resource efficiency it can help you cut costs, enhance brand value, reduce risks of exposure to volatile and high commodity prices, and improve resilience and competitiveness in global markets. </w:t>
      </w:r>
      <w:r w:rsidRPr="006A6CE3">
        <w:rPr>
          <w:rFonts w:eastAsia="Century Schoolbook" w:cs="Arial"/>
          <w:lang w:eastAsia="en-GB"/>
        </w:rPr>
        <w:t>Your organisation could benefit in the following ways:</w:t>
      </w:r>
    </w:p>
    <w:p w:rsidR="00913351" w:rsidRPr="006A6CE3" w:rsidRDefault="00913351" w:rsidP="0086258B">
      <w:pPr>
        <w:numPr>
          <w:ilvl w:val="0"/>
          <w:numId w:val="54"/>
        </w:numPr>
        <w:spacing w:before="0" w:after="0"/>
        <w:rPr>
          <w:rFonts w:eastAsia="Century Schoolbook" w:cs="Arial"/>
          <w:lang w:eastAsia="en-GB"/>
        </w:rPr>
      </w:pPr>
      <w:r w:rsidRPr="006A6CE3">
        <w:rPr>
          <w:rFonts w:eastAsia="Century Schoolbook" w:cs="Arial"/>
          <w:lang w:eastAsia="en-GB"/>
        </w:rPr>
        <w:t>Increased productivity</w:t>
      </w:r>
    </w:p>
    <w:p w:rsidR="00913351" w:rsidRPr="006A6CE3" w:rsidRDefault="00913351" w:rsidP="0086258B">
      <w:pPr>
        <w:numPr>
          <w:ilvl w:val="0"/>
          <w:numId w:val="54"/>
        </w:numPr>
        <w:spacing w:before="0" w:after="0"/>
        <w:rPr>
          <w:rFonts w:eastAsia="Century Schoolbook" w:cs="Arial"/>
          <w:lang w:eastAsia="en-GB"/>
        </w:rPr>
      </w:pPr>
      <w:r w:rsidRPr="006A6CE3">
        <w:rPr>
          <w:rFonts w:eastAsia="Century Schoolbook" w:cs="Arial"/>
          <w:lang w:eastAsia="en-GB"/>
        </w:rPr>
        <w:t>Increased economic performance</w:t>
      </w:r>
    </w:p>
    <w:p w:rsidR="00913351" w:rsidRPr="006A6CE3" w:rsidRDefault="00913351" w:rsidP="0086258B">
      <w:pPr>
        <w:numPr>
          <w:ilvl w:val="0"/>
          <w:numId w:val="54"/>
        </w:numPr>
        <w:spacing w:before="0" w:after="0"/>
        <w:rPr>
          <w:rFonts w:eastAsia="Century Schoolbook" w:cs="Arial"/>
          <w:lang w:eastAsia="en-GB"/>
        </w:rPr>
      </w:pPr>
      <w:r w:rsidRPr="006A6CE3">
        <w:rPr>
          <w:rFonts w:eastAsia="Century Schoolbook" w:cs="Arial"/>
          <w:lang w:eastAsia="en-GB"/>
        </w:rPr>
        <w:t>Increased marketability</w:t>
      </w:r>
    </w:p>
    <w:p w:rsidR="00913351" w:rsidRPr="006A6CE3" w:rsidRDefault="00913351" w:rsidP="0086258B">
      <w:pPr>
        <w:numPr>
          <w:ilvl w:val="0"/>
          <w:numId w:val="54"/>
        </w:numPr>
        <w:spacing w:before="0" w:after="0"/>
        <w:rPr>
          <w:rFonts w:eastAsia="Century Schoolbook" w:cs="Arial"/>
          <w:lang w:eastAsia="en-GB"/>
        </w:rPr>
      </w:pPr>
      <w:r w:rsidRPr="006A6CE3">
        <w:rPr>
          <w:rFonts w:eastAsia="Century Schoolbook" w:cs="Arial"/>
          <w:lang w:eastAsia="en-GB"/>
        </w:rPr>
        <w:t>Increased margins</w:t>
      </w:r>
    </w:p>
    <w:p w:rsidR="00913351" w:rsidRPr="006A6CE3" w:rsidRDefault="00913351" w:rsidP="0086258B">
      <w:pPr>
        <w:numPr>
          <w:ilvl w:val="0"/>
          <w:numId w:val="54"/>
        </w:numPr>
        <w:spacing w:before="0" w:after="0"/>
        <w:rPr>
          <w:rFonts w:eastAsia="Century Schoolbook" w:cs="Arial"/>
          <w:lang w:eastAsia="en-GB"/>
        </w:rPr>
      </w:pPr>
      <w:r w:rsidRPr="006A6CE3">
        <w:rPr>
          <w:rFonts w:eastAsia="Century Schoolbook" w:cs="Arial"/>
          <w:lang w:eastAsia="en-GB"/>
        </w:rPr>
        <w:t>Improved environmental performance</w:t>
      </w:r>
    </w:p>
    <w:p w:rsidR="00913351" w:rsidRPr="006A6CE3" w:rsidRDefault="006A6A56" w:rsidP="0086258B">
      <w:pPr>
        <w:numPr>
          <w:ilvl w:val="0"/>
          <w:numId w:val="54"/>
        </w:numPr>
        <w:spacing w:before="0" w:after="0"/>
        <w:rPr>
          <w:rFonts w:eastAsia="Century Schoolbook" w:cs="Arial"/>
          <w:lang w:eastAsia="en-GB"/>
        </w:rPr>
      </w:pPr>
      <w:r w:rsidRPr="006A6CE3">
        <w:rPr>
          <w:rFonts w:eastAsia="Century Schoolbook" w:cs="Arial"/>
          <w:lang w:eastAsia="en-GB"/>
        </w:rPr>
        <w:t>R</w:t>
      </w:r>
      <w:r w:rsidR="00913351" w:rsidRPr="006A6CE3">
        <w:rPr>
          <w:rFonts w:eastAsia="Century Schoolbook" w:cs="Arial"/>
          <w:lang w:eastAsia="en-GB"/>
        </w:rPr>
        <w:t>educed waste storage and disposal costs</w:t>
      </w:r>
    </w:p>
    <w:p w:rsidR="00913351" w:rsidRPr="006A6CE3" w:rsidRDefault="00913351" w:rsidP="0086258B">
      <w:pPr>
        <w:numPr>
          <w:ilvl w:val="0"/>
          <w:numId w:val="54"/>
        </w:numPr>
        <w:spacing w:before="0" w:after="0"/>
        <w:rPr>
          <w:rFonts w:eastAsia="Century Schoolbook" w:cs="Arial"/>
          <w:lang w:eastAsia="en-GB"/>
        </w:rPr>
      </w:pPr>
      <w:r w:rsidRPr="006A6CE3">
        <w:rPr>
          <w:rFonts w:eastAsia="Century Schoolbook" w:cs="Arial"/>
          <w:lang w:eastAsia="en-GB"/>
        </w:rPr>
        <w:t>Reduced operational costs</w:t>
      </w:r>
    </w:p>
    <w:p w:rsidR="00913351" w:rsidRPr="006A6CE3" w:rsidRDefault="00913351" w:rsidP="0086258B">
      <w:pPr>
        <w:numPr>
          <w:ilvl w:val="0"/>
          <w:numId w:val="54"/>
        </w:numPr>
        <w:spacing w:before="0" w:after="0"/>
        <w:rPr>
          <w:rFonts w:eastAsia="Century Schoolbook" w:cs="Arial"/>
          <w:lang w:eastAsia="en-GB"/>
        </w:rPr>
      </w:pPr>
      <w:r w:rsidRPr="006A6CE3">
        <w:rPr>
          <w:rFonts w:eastAsia="Century Schoolbook" w:cs="Arial"/>
          <w:lang w:eastAsia="en-GB"/>
        </w:rPr>
        <w:t>Reduced transport and logistics costs</w:t>
      </w:r>
    </w:p>
    <w:p w:rsidR="00913351" w:rsidRPr="006A6CE3" w:rsidRDefault="00913351" w:rsidP="0086258B">
      <w:pPr>
        <w:numPr>
          <w:ilvl w:val="0"/>
          <w:numId w:val="54"/>
        </w:numPr>
        <w:spacing w:before="0" w:after="0"/>
        <w:rPr>
          <w:rFonts w:eastAsia="Century Schoolbook" w:cs="Arial"/>
          <w:lang w:eastAsia="en-GB"/>
        </w:rPr>
      </w:pPr>
      <w:r w:rsidRPr="006A6CE3">
        <w:rPr>
          <w:rFonts w:eastAsia="Century Schoolbook" w:cs="Arial"/>
          <w:lang w:eastAsia="en-GB"/>
        </w:rPr>
        <w:t>Reduction in utility (water, electricity, gas etc</w:t>
      </w:r>
      <w:r w:rsidR="009C72E8">
        <w:rPr>
          <w:rFonts w:eastAsia="Century Schoolbook" w:cs="Arial"/>
          <w:lang w:eastAsia="en-GB"/>
        </w:rPr>
        <w:t>.</w:t>
      </w:r>
      <w:r w:rsidRPr="006A6CE3">
        <w:rPr>
          <w:rFonts w:eastAsia="Century Schoolbook" w:cs="Arial"/>
          <w:lang w:eastAsia="en-GB"/>
        </w:rPr>
        <w:t>) costs</w:t>
      </w:r>
    </w:p>
    <w:p w:rsidR="00913351" w:rsidRPr="006A6CE3" w:rsidRDefault="00913351" w:rsidP="0086258B">
      <w:pPr>
        <w:numPr>
          <w:ilvl w:val="0"/>
          <w:numId w:val="54"/>
        </w:numPr>
        <w:spacing w:before="0" w:after="0"/>
        <w:rPr>
          <w:rFonts w:eastAsia="Century Schoolbook" w:cs="Arial"/>
          <w:lang w:eastAsia="en-GB"/>
        </w:rPr>
      </w:pPr>
      <w:r w:rsidRPr="006A6CE3">
        <w:rPr>
          <w:rFonts w:eastAsia="Century Schoolbook" w:cs="Arial"/>
          <w:lang w:eastAsia="en-GB"/>
        </w:rPr>
        <w:t>Reduced greenhouse gas emissions</w:t>
      </w:r>
    </w:p>
    <w:p w:rsidR="00913351" w:rsidRPr="006A6CE3" w:rsidRDefault="00913351" w:rsidP="00E204D9">
      <w:pPr>
        <w:rPr>
          <w:rFonts w:cs="Arial"/>
        </w:rPr>
      </w:pPr>
      <w:r w:rsidRPr="006A6CE3">
        <w:rPr>
          <w:rFonts w:cs="Arial"/>
        </w:rPr>
        <w:lastRenderedPageBreak/>
        <w:t>WRAP</w:t>
      </w:r>
      <w:r w:rsidRPr="006A6CE3">
        <w:rPr>
          <w:rStyle w:val="FootnoteReference"/>
          <w:rFonts w:cs="Arial"/>
          <w:b/>
        </w:rPr>
        <w:footnoteReference w:id="62"/>
      </w:r>
      <w:r w:rsidRPr="006A6CE3">
        <w:rPr>
          <w:rFonts w:cs="Arial"/>
        </w:rPr>
        <w:t xml:space="preserve"> and Zero Waste Scotland</w:t>
      </w:r>
      <w:r w:rsidRPr="006A6CE3">
        <w:rPr>
          <w:rStyle w:val="FootnoteReference"/>
          <w:rFonts w:cs="Arial"/>
          <w:b/>
        </w:rPr>
        <w:footnoteReference w:id="63"/>
      </w:r>
      <w:r w:rsidRPr="006A6CE3">
        <w:rPr>
          <w:rFonts w:cs="Arial"/>
        </w:rPr>
        <w:t xml:space="preserve"> are the principal sources of information and advice available to businesses in the UK with regard to looking at and improving your resource efficiency.</w:t>
      </w:r>
    </w:p>
    <w:p w:rsidR="00913351" w:rsidRPr="006A6CE3" w:rsidRDefault="006A6A56" w:rsidP="00E204D9">
      <w:pPr>
        <w:spacing w:before="0" w:line="240" w:lineRule="auto"/>
        <w:rPr>
          <w:rFonts w:cs="Arial"/>
          <w:szCs w:val="24"/>
        </w:rPr>
      </w:pPr>
      <w:r w:rsidRPr="006A6CE3">
        <w:rPr>
          <w:rFonts w:cs="Arial"/>
          <w:szCs w:val="24"/>
        </w:rPr>
        <w:t xml:space="preserve">For your </w:t>
      </w:r>
      <w:r w:rsidR="00913351" w:rsidRPr="006A6CE3">
        <w:rPr>
          <w:rFonts w:cs="Arial"/>
          <w:szCs w:val="24"/>
        </w:rPr>
        <w:t xml:space="preserve">operations to be as resource efficient as possible you might find it helpful to have in </w:t>
      </w:r>
      <w:proofErr w:type="gramStart"/>
      <w:r w:rsidR="00913351" w:rsidRPr="006A6CE3">
        <w:rPr>
          <w:rFonts w:cs="Arial"/>
          <w:szCs w:val="24"/>
        </w:rPr>
        <w:t>place</w:t>
      </w:r>
      <w:proofErr w:type="gramEnd"/>
      <w:r w:rsidR="00913351" w:rsidRPr="006A6CE3">
        <w:rPr>
          <w:rFonts w:cs="Arial"/>
          <w:szCs w:val="24"/>
        </w:rPr>
        <w:t xml:space="preserve"> a strategy which looks at your operations and the potential savings or efficiencies you could make.  By identifying business critical materials and those that you use most, you can plan how to manage any potential risks around price vo</w:t>
      </w:r>
      <w:r w:rsidRPr="006A6CE3">
        <w:rPr>
          <w:rFonts w:cs="Arial"/>
          <w:szCs w:val="24"/>
        </w:rPr>
        <w:t>latility and supply disruption.</w:t>
      </w:r>
      <w:r w:rsidR="00913351" w:rsidRPr="006A6CE3">
        <w:rPr>
          <w:rFonts w:cs="Arial"/>
          <w:szCs w:val="24"/>
        </w:rPr>
        <w:t xml:space="preserve"> </w:t>
      </w:r>
    </w:p>
    <w:p w:rsidR="00913351" w:rsidRPr="00EA5B43" w:rsidRDefault="00913351" w:rsidP="00EA5B43">
      <w:pPr>
        <w:pStyle w:val="Heading3"/>
        <w:rPr>
          <w:color w:val="76923C"/>
        </w:rPr>
      </w:pPr>
      <w:bookmarkStart w:id="212" w:name="_Toc358302288"/>
      <w:r w:rsidRPr="00EA5B43">
        <w:rPr>
          <w:color w:val="76923C"/>
        </w:rPr>
        <w:t>Raw Materials Extraction and Processing</w:t>
      </w:r>
      <w:bookmarkEnd w:id="212"/>
    </w:p>
    <w:p w:rsidR="00913351" w:rsidRPr="006A6CE3" w:rsidRDefault="00913351" w:rsidP="00E204D9">
      <w:pPr>
        <w:rPr>
          <w:rFonts w:cs="Arial"/>
          <w:szCs w:val="24"/>
          <w:lang w:eastAsia="en-GB"/>
        </w:rPr>
      </w:pPr>
      <w:r w:rsidRPr="006A6CE3">
        <w:rPr>
          <w:rFonts w:cs="Arial"/>
          <w:szCs w:val="24"/>
        </w:rPr>
        <w:t>Materials extraction through activities such as mining can have serious environmental impacts as e</w:t>
      </w:r>
      <w:r w:rsidRPr="006A6CE3">
        <w:rPr>
          <w:rFonts w:cs="Arial"/>
          <w:szCs w:val="24"/>
          <w:lang w:eastAsia="en-GB"/>
        </w:rPr>
        <w:t xml:space="preserve">xtractive industries often produce large volumes of waste; use large amounts of water and have the potential, given the nature of some of the materials being extracted, for pollution to occur to the environment. You should review the chapters of this guidance on biodiversity, waste, water, and emissions to air, land and water. </w:t>
      </w:r>
    </w:p>
    <w:p w:rsidR="00913351" w:rsidRPr="006A6CE3" w:rsidRDefault="00913351" w:rsidP="00E204D9">
      <w:pPr>
        <w:rPr>
          <w:rFonts w:cs="Arial"/>
          <w:szCs w:val="24"/>
          <w:lang w:eastAsia="en-GB"/>
        </w:rPr>
      </w:pPr>
      <w:r w:rsidRPr="006A6CE3">
        <w:rPr>
          <w:rFonts w:cs="Arial"/>
          <w:szCs w:val="24"/>
          <w:lang w:eastAsia="en-GB"/>
        </w:rPr>
        <w:t>If you currently operate within well established and structured sustainability guidance developed by your trade association or governing body you could use the data collected for that in your corporate reporting.</w:t>
      </w:r>
    </w:p>
    <w:p w:rsidR="00913351" w:rsidRPr="006A6CE3" w:rsidRDefault="00913351" w:rsidP="00E204D9">
      <w:pPr>
        <w:rPr>
          <w:rFonts w:cs="Arial"/>
          <w:szCs w:val="24"/>
        </w:rPr>
      </w:pPr>
      <w:r w:rsidRPr="006A6CE3">
        <w:rPr>
          <w:rFonts w:cs="Arial"/>
          <w:szCs w:val="24"/>
        </w:rPr>
        <w:t xml:space="preserve">With biomass being increasingly used as a renewable source of energy, cultivation of energy products can be accompanied by significant impacts on biodiversity, for example, due to taking up large areas of natural habitats or extensive water use.  Due to the nature of these activities you should also review </w:t>
      </w:r>
      <w:hyperlink w:anchor="_Chapter_8:_" w:history="1">
        <w:r w:rsidRPr="00D82495">
          <w:rPr>
            <w:rStyle w:val="Hyperlink"/>
            <w:rFonts w:cs="Arial"/>
            <w:szCs w:val="24"/>
          </w:rPr>
          <w:t>chapter 8</w:t>
        </w:r>
      </w:hyperlink>
      <w:r w:rsidRPr="00D82495">
        <w:rPr>
          <w:rFonts w:cs="Arial"/>
          <w:szCs w:val="24"/>
        </w:rPr>
        <w:t xml:space="preserve"> of</w:t>
      </w:r>
      <w:r w:rsidRPr="006A6CE3">
        <w:rPr>
          <w:rFonts w:cs="Arial"/>
          <w:szCs w:val="24"/>
        </w:rPr>
        <w:t xml:space="preserve"> this guidance on biodiversity and ecosystem services and consider whether you should report on biodiversity or ecosystem services impacts. </w:t>
      </w:r>
    </w:p>
    <w:p w:rsidR="00913351" w:rsidRPr="00BE3068" w:rsidRDefault="00913351" w:rsidP="00BE3068">
      <w:pPr>
        <w:pStyle w:val="Heading2"/>
      </w:pPr>
      <w:bookmarkStart w:id="213" w:name="_Toc358054493"/>
      <w:bookmarkStart w:id="214" w:name="_Toc358054577"/>
      <w:bookmarkStart w:id="215" w:name="_Toc358060217"/>
      <w:bookmarkStart w:id="216" w:name="_Toc358302289"/>
      <w:bookmarkStart w:id="217" w:name="_Toc380763577"/>
      <w:r w:rsidRPr="00BE3068">
        <w:t>What to measure and what to report</w:t>
      </w:r>
      <w:bookmarkEnd w:id="213"/>
      <w:bookmarkEnd w:id="214"/>
      <w:bookmarkEnd w:id="215"/>
      <w:bookmarkEnd w:id="216"/>
      <w:bookmarkEnd w:id="217"/>
      <w:r w:rsidRPr="00BE3068">
        <w:t xml:space="preserve"> </w:t>
      </w:r>
    </w:p>
    <w:p w:rsidR="00913351" w:rsidRPr="006A6CE3" w:rsidRDefault="00913351" w:rsidP="00E204D9">
      <w:pPr>
        <w:pStyle w:val="Heading3"/>
        <w:rPr>
          <w:rFonts w:cs="Arial"/>
          <w:color w:val="76923C"/>
        </w:rPr>
      </w:pPr>
      <w:bookmarkStart w:id="218" w:name="_Toc358054578"/>
      <w:bookmarkStart w:id="219" w:name="_Toc358060218"/>
      <w:bookmarkStart w:id="220" w:name="_Toc358302290"/>
      <w:r w:rsidRPr="006A6CE3">
        <w:rPr>
          <w:rFonts w:cs="Arial"/>
          <w:color w:val="76923C"/>
        </w:rPr>
        <w:t>Resource Efficiency</w:t>
      </w:r>
      <w:bookmarkEnd w:id="218"/>
      <w:bookmarkEnd w:id="219"/>
      <w:bookmarkEnd w:id="220"/>
    </w:p>
    <w:p w:rsidR="00913351" w:rsidRPr="006A6CE3" w:rsidRDefault="00913351" w:rsidP="006A6A56">
      <w:pPr>
        <w:rPr>
          <w:rFonts w:cs="Arial"/>
          <w:lang w:eastAsia="en-GB"/>
        </w:rPr>
      </w:pPr>
      <w:r w:rsidRPr="006A6CE3">
        <w:rPr>
          <w:rFonts w:cs="Arial"/>
          <w:lang w:eastAsia="en-GB"/>
        </w:rPr>
        <w:t xml:space="preserve">The actual metrics you report on will vary depending on your organization but could be: </w:t>
      </w:r>
    </w:p>
    <w:p w:rsidR="00913351" w:rsidRPr="006A6CE3" w:rsidRDefault="00913351" w:rsidP="0086258B">
      <w:pPr>
        <w:numPr>
          <w:ilvl w:val="0"/>
          <w:numId w:val="55"/>
        </w:numPr>
        <w:rPr>
          <w:rFonts w:cs="Arial"/>
          <w:lang w:eastAsia="en-GB"/>
        </w:rPr>
      </w:pPr>
      <w:r w:rsidRPr="006A6CE3">
        <w:rPr>
          <w:rFonts w:cs="Arial"/>
          <w:lang w:eastAsia="en-GB"/>
        </w:rPr>
        <w:t xml:space="preserve">changes in consumption of key materials </w:t>
      </w:r>
    </w:p>
    <w:p w:rsidR="00913351" w:rsidRPr="006A6CE3" w:rsidRDefault="00913351" w:rsidP="0086258B">
      <w:pPr>
        <w:numPr>
          <w:ilvl w:val="0"/>
          <w:numId w:val="55"/>
        </w:numPr>
        <w:rPr>
          <w:rFonts w:cs="Arial"/>
          <w:lang w:eastAsia="en-GB"/>
        </w:rPr>
      </w:pPr>
      <w:proofErr w:type="gramStart"/>
      <w:r w:rsidRPr="006A6CE3">
        <w:rPr>
          <w:rFonts w:cs="Arial"/>
          <w:lang w:eastAsia="en-GB"/>
        </w:rPr>
        <w:lastRenderedPageBreak/>
        <w:t>volume</w:t>
      </w:r>
      <w:proofErr w:type="gramEnd"/>
      <w:r w:rsidRPr="006A6CE3">
        <w:rPr>
          <w:rFonts w:cs="Arial"/>
          <w:lang w:eastAsia="en-GB"/>
        </w:rPr>
        <w:t xml:space="preserve"> of material, i.e. wood purchased, against volume of that material going to waste, recycling, reuse.</w:t>
      </w:r>
    </w:p>
    <w:p w:rsidR="00913351" w:rsidRPr="006A6CE3" w:rsidRDefault="00913351" w:rsidP="0086258B">
      <w:pPr>
        <w:numPr>
          <w:ilvl w:val="0"/>
          <w:numId w:val="55"/>
        </w:numPr>
        <w:rPr>
          <w:rFonts w:cs="Arial"/>
          <w:lang w:eastAsia="en-GB"/>
        </w:rPr>
      </w:pPr>
      <w:proofErr w:type="gramStart"/>
      <w:r w:rsidRPr="006A6CE3">
        <w:rPr>
          <w:rFonts w:cs="Arial"/>
          <w:lang w:eastAsia="en-GB"/>
        </w:rPr>
        <w:t>spend</w:t>
      </w:r>
      <w:proofErr w:type="gramEnd"/>
      <w:r w:rsidRPr="006A6CE3">
        <w:rPr>
          <w:rFonts w:cs="Arial"/>
          <w:lang w:eastAsia="en-GB"/>
        </w:rPr>
        <w:t xml:space="preserve"> on low environmental impact materials as a proportion of total materials. </w:t>
      </w:r>
    </w:p>
    <w:p w:rsidR="00913351" w:rsidRPr="006A6CE3" w:rsidRDefault="00913351" w:rsidP="00E204D9">
      <w:pPr>
        <w:rPr>
          <w:rFonts w:cs="Arial"/>
          <w:color w:val="000000"/>
          <w:szCs w:val="24"/>
        </w:rPr>
      </w:pPr>
      <w:r w:rsidRPr="006A6CE3">
        <w:rPr>
          <w:rFonts w:cs="Arial"/>
          <w:color w:val="000000"/>
          <w:szCs w:val="24"/>
        </w:rPr>
        <w:t>Your reporting will be strengthened if:</w:t>
      </w:r>
    </w:p>
    <w:p w:rsidR="00913351" w:rsidRPr="006A6CE3" w:rsidRDefault="00913351" w:rsidP="0086258B">
      <w:pPr>
        <w:numPr>
          <w:ilvl w:val="0"/>
          <w:numId w:val="56"/>
        </w:numPr>
        <w:rPr>
          <w:rFonts w:cs="Arial"/>
        </w:rPr>
      </w:pPr>
      <w:proofErr w:type="gramStart"/>
      <w:r w:rsidRPr="006A6CE3">
        <w:rPr>
          <w:rFonts w:cs="Arial"/>
        </w:rPr>
        <w:t>you</w:t>
      </w:r>
      <w:proofErr w:type="gramEnd"/>
      <w:r w:rsidRPr="006A6CE3">
        <w:rPr>
          <w:rFonts w:cs="Arial"/>
        </w:rPr>
        <w:t xml:space="preserve"> measure the above metrics against a base year and/or set targets.</w:t>
      </w:r>
    </w:p>
    <w:p w:rsidR="00913351" w:rsidRPr="006A6CE3" w:rsidRDefault="00913351" w:rsidP="0086258B">
      <w:pPr>
        <w:numPr>
          <w:ilvl w:val="0"/>
          <w:numId w:val="56"/>
        </w:numPr>
        <w:rPr>
          <w:rFonts w:cs="Arial"/>
        </w:rPr>
      </w:pPr>
      <w:proofErr w:type="gramStart"/>
      <w:r w:rsidRPr="006A6CE3">
        <w:rPr>
          <w:rFonts w:eastAsia="Century Schoolbook" w:cs="Arial"/>
          <w:lang w:eastAsia="en-GB"/>
        </w:rPr>
        <w:t>provide</w:t>
      </w:r>
      <w:proofErr w:type="gramEnd"/>
      <w:r w:rsidRPr="006A6CE3">
        <w:rPr>
          <w:rFonts w:eastAsia="Century Schoolbook" w:cs="Arial"/>
          <w:lang w:eastAsia="en-GB"/>
        </w:rPr>
        <w:t xml:space="preserve"> a narrative on i</w:t>
      </w:r>
      <w:r w:rsidRPr="006A6CE3">
        <w:rPr>
          <w:rFonts w:cs="Arial"/>
        </w:rPr>
        <w:t>nitiatives to continually improve the environmental perform</w:t>
      </w:r>
      <w:r w:rsidRPr="006A6CE3">
        <w:rPr>
          <w:rFonts w:cs="Arial"/>
        </w:rPr>
        <w:softHyphen/>
        <w:t>ance of a company’s operations, for instance on energy and water effi</w:t>
      </w:r>
      <w:r w:rsidRPr="006A6CE3">
        <w:rPr>
          <w:rFonts w:cs="Arial"/>
        </w:rPr>
        <w:softHyphen/>
        <w:t>ciency, raw material efficiency, waste minimisation and resource recovery projects, including the use and sharing of best available practices in environmental management or any existing stewardship schemes in operation.</w:t>
      </w:r>
    </w:p>
    <w:p w:rsidR="00913351" w:rsidRPr="006A6CE3" w:rsidRDefault="00913351" w:rsidP="006A6A56">
      <w:pPr>
        <w:rPr>
          <w:rFonts w:cs="Arial"/>
          <w:b/>
        </w:rPr>
      </w:pPr>
      <w:r w:rsidRPr="006A6CE3">
        <w:rPr>
          <w:rFonts w:cs="Arial"/>
        </w:rPr>
        <w:t>If your organisation is already monitoring and recording materials use through voluntary agreements set up by WRAP such as the Construction and Courtauld2 Commitments (see annex K for further detail) you can report the results in your corporate report.</w:t>
      </w:r>
    </w:p>
    <w:p w:rsidR="00913351" w:rsidRPr="00EA5B43" w:rsidRDefault="00913351" w:rsidP="00EA5B43">
      <w:pPr>
        <w:pStyle w:val="Heading3"/>
        <w:rPr>
          <w:color w:val="76923C"/>
          <w:szCs w:val="28"/>
        </w:rPr>
      </w:pPr>
      <w:bookmarkStart w:id="221" w:name="_Toc358054579"/>
      <w:bookmarkStart w:id="222" w:name="_Toc358060219"/>
      <w:bookmarkStart w:id="223" w:name="_Toc358302291"/>
      <w:r w:rsidRPr="00EA5B43">
        <w:rPr>
          <w:color w:val="76923C"/>
          <w:szCs w:val="28"/>
        </w:rPr>
        <w:t>Raw Materials Extraction and Processing</w:t>
      </w:r>
      <w:bookmarkEnd w:id="221"/>
      <w:bookmarkEnd w:id="222"/>
      <w:bookmarkEnd w:id="223"/>
    </w:p>
    <w:p w:rsidR="00913351" w:rsidRPr="006A6CE3" w:rsidRDefault="00913351" w:rsidP="00E204D9">
      <w:pPr>
        <w:rPr>
          <w:rFonts w:cs="Arial"/>
          <w:szCs w:val="24"/>
        </w:rPr>
      </w:pPr>
      <w:r w:rsidRPr="006A6CE3">
        <w:rPr>
          <w:rFonts w:cs="Arial"/>
          <w:szCs w:val="24"/>
        </w:rPr>
        <w:t xml:space="preserve">If your main business is in the extractive industries, such as, </w:t>
      </w:r>
      <w:r w:rsidRPr="006A6CE3">
        <w:rPr>
          <w:rFonts w:cs="Arial"/>
        </w:rPr>
        <w:t>oil, coal, gas, peat, minerals, metals, aggregates, biomass and forestry products</w:t>
      </w:r>
      <w:r w:rsidRPr="006A6CE3">
        <w:rPr>
          <w:rFonts w:cs="Arial"/>
          <w:szCs w:val="24"/>
        </w:rPr>
        <w:t xml:space="preserve"> it is likely that you record your production levels and publish a yearly statement of these as this demonstrates your core business activity. In addition to these headline figures, you should also consider what environmental impacts are relevant.</w:t>
      </w:r>
    </w:p>
    <w:p w:rsidR="00913351" w:rsidRPr="006A6CE3" w:rsidRDefault="00913351" w:rsidP="00E204D9">
      <w:pPr>
        <w:rPr>
          <w:rFonts w:cs="Arial"/>
          <w:szCs w:val="24"/>
          <w:lang w:eastAsia="en-GB"/>
        </w:rPr>
      </w:pPr>
      <w:r w:rsidRPr="006A6CE3">
        <w:rPr>
          <w:rFonts w:cs="Arial"/>
          <w:szCs w:val="24"/>
          <w:lang w:eastAsia="en-GB"/>
        </w:rPr>
        <w:t xml:space="preserve">The GRI has specific sector supplements for the Oil and Gas Sector and Mining and Metals. </w:t>
      </w:r>
      <w:r w:rsidRPr="006A6CE3">
        <w:rPr>
          <w:rFonts w:cs="Arial"/>
          <w:szCs w:val="24"/>
        </w:rPr>
        <w:t xml:space="preserve">IPIECA is the global oil and gas industry association for environmental and social issues and they provide a substantial body of guidance on environmental and sustainability reporting. </w:t>
      </w:r>
      <w:hyperlink r:id="rId65" w:history="1">
        <w:r w:rsidRPr="006A6CE3">
          <w:rPr>
            <w:rStyle w:val="Hyperlink"/>
            <w:rFonts w:cs="Arial"/>
            <w:szCs w:val="24"/>
            <w:lang w:eastAsia="en-GB"/>
          </w:rPr>
          <w:t>http://www.ipieca.org/focus-area/reporting</w:t>
        </w:r>
      </w:hyperlink>
    </w:p>
    <w:p w:rsidR="00913351" w:rsidRPr="006A6CE3" w:rsidRDefault="00913351" w:rsidP="00E204D9">
      <w:pPr>
        <w:rPr>
          <w:rFonts w:cs="Arial"/>
          <w:szCs w:val="24"/>
          <w:lang w:eastAsia="en-GB"/>
        </w:rPr>
      </w:pPr>
      <w:r w:rsidRPr="006A6CE3">
        <w:rPr>
          <w:rFonts w:cs="Arial"/>
          <w:szCs w:val="24"/>
          <w:lang w:eastAsia="en-GB"/>
        </w:rPr>
        <w:t xml:space="preserve">If you are managing, recording and reporting through one of these you can use this data for your reporting. You should also highlight the key points of any Environmental Impact Assessment survey and your response to those points. </w:t>
      </w:r>
    </w:p>
    <w:p w:rsidR="00913351" w:rsidRPr="00EA5B43" w:rsidRDefault="00913351" w:rsidP="00EA5B43">
      <w:pPr>
        <w:pStyle w:val="Heading3"/>
        <w:rPr>
          <w:color w:val="76923C"/>
          <w:lang w:eastAsia="en-GB"/>
        </w:rPr>
      </w:pPr>
      <w:bookmarkStart w:id="224" w:name="_Toc358302292"/>
      <w:r w:rsidRPr="00EA5B43">
        <w:rPr>
          <w:color w:val="76923C"/>
          <w:lang w:eastAsia="en-GB"/>
        </w:rPr>
        <w:lastRenderedPageBreak/>
        <w:t>Possible reporting measures</w:t>
      </w:r>
      <w:bookmarkEnd w:id="224"/>
    </w:p>
    <w:p w:rsidR="00913351" w:rsidRPr="006A6CE3" w:rsidRDefault="00913351" w:rsidP="0086258B">
      <w:pPr>
        <w:numPr>
          <w:ilvl w:val="0"/>
          <w:numId w:val="17"/>
        </w:numPr>
        <w:spacing w:before="120" w:after="240"/>
        <w:rPr>
          <w:rFonts w:cs="Arial"/>
          <w:szCs w:val="24"/>
          <w:lang w:eastAsia="en-GB"/>
        </w:rPr>
      </w:pPr>
      <w:r w:rsidRPr="006A6CE3">
        <w:rPr>
          <w:rFonts w:cs="Arial"/>
          <w:szCs w:val="24"/>
          <w:lang w:eastAsia="en-GB"/>
        </w:rPr>
        <w:t xml:space="preserve">Where materials extraction has either </w:t>
      </w:r>
      <w:r w:rsidRPr="006A6CE3">
        <w:rPr>
          <w:rFonts w:cs="Arial"/>
          <w:b/>
          <w:szCs w:val="24"/>
          <w:lang w:eastAsia="en-GB"/>
        </w:rPr>
        <w:t xml:space="preserve">positively or negatively affected species and habitats </w:t>
      </w:r>
      <w:r w:rsidRPr="006A6CE3">
        <w:rPr>
          <w:rFonts w:cs="Arial"/>
          <w:szCs w:val="24"/>
          <w:lang w:eastAsia="en-GB"/>
        </w:rPr>
        <w:t>before, during and after their operational life-span, this should be reported. These impacts are relevant to indicators on biodiversity and ecosystem services and further information can be found in chapter 8.</w:t>
      </w:r>
    </w:p>
    <w:p w:rsidR="00913351" w:rsidRPr="006A6CE3" w:rsidRDefault="00913351" w:rsidP="0086258B">
      <w:pPr>
        <w:numPr>
          <w:ilvl w:val="0"/>
          <w:numId w:val="11"/>
        </w:numPr>
        <w:spacing w:before="120" w:after="240"/>
        <w:rPr>
          <w:rFonts w:cs="Arial"/>
          <w:szCs w:val="24"/>
        </w:rPr>
      </w:pPr>
      <w:r w:rsidRPr="006A6CE3">
        <w:rPr>
          <w:rFonts w:cs="Arial"/>
          <w:szCs w:val="24"/>
        </w:rPr>
        <w:t xml:space="preserve">If you are a large user of aggregates you should </w:t>
      </w:r>
      <w:r w:rsidRPr="006A6CE3">
        <w:rPr>
          <w:rFonts w:cs="Arial"/>
          <w:b/>
          <w:szCs w:val="24"/>
        </w:rPr>
        <w:t xml:space="preserve">record and report the source of aggregate used i.e. the percentage split between mined and recovered aggregate material </w:t>
      </w:r>
      <w:r w:rsidRPr="006A6CE3">
        <w:rPr>
          <w:rFonts w:cs="Arial"/>
          <w:szCs w:val="24"/>
        </w:rPr>
        <w:t>as this will demonstrate</w:t>
      </w:r>
      <w:r w:rsidRPr="006A6CE3">
        <w:rPr>
          <w:rFonts w:cs="Arial"/>
          <w:i/>
          <w:szCs w:val="24"/>
        </w:rPr>
        <w:t xml:space="preserve"> y</w:t>
      </w:r>
      <w:r w:rsidRPr="006A6CE3">
        <w:rPr>
          <w:rFonts w:cs="Arial"/>
          <w:szCs w:val="24"/>
        </w:rPr>
        <w:t>our commitment to efficient use of resources. This also links closely to chapter 5 on waste and the waste hierarchy.</w:t>
      </w:r>
    </w:p>
    <w:p w:rsidR="00913351" w:rsidRPr="006A6CE3" w:rsidRDefault="00913351" w:rsidP="0086258B">
      <w:pPr>
        <w:numPr>
          <w:ilvl w:val="0"/>
          <w:numId w:val="11"/>
        </w:numPr>
        <w:spacing w:before="120" w:after="240"/>
        <w:rPr>
          <w:rFonts w:cs="Arial"/>
          <w:color w:val="000000"/>
          <w:szCs w:val="24"/>
        </w:rPr>
      </w:pPr>
      <w:r w:rsidRPr="006A6CE3">
        <w:rPr>
          <w:rFonts w:cs="Arial"/>
          <w:color w:val="000000"/>
          <w:szCs w:val="24"/>
        </w:rPr>
        <w:t xml:space="preserve">If you are using significant amounts of biomass, or if the use of biomass is critical to your operation, you should report on the origins of your biomass source and the </w:t>
      </w:r>
      <w:r w:rsidRPr="006A6CE3">
        <w:rPr>
          <w:rFonts w:cs="Arial"/>
          <w:b/>
          <w:color w:val="000000"/>
          <w:szCs w:val="24"/>
        </w:rPr>
        <w:t>amount used in metric tonnes per annum dry weight</w:t>
      </w:r>
      <w:r w:rsidRPr="006A6CE3">
        <w:rPr>
          <w:rFonts w:cs="Arial"/>
          <w:color w:val="000000"/>
          <w:szCs w:val="24"/>
        </w:rPr>
        <w:t xml:space="preserve">. </w:t>
      </w:r>
    </w:p>
    <w:p w:rsidR="00913351" w:rsidRPr="006A6CE3" w:rsidRDefault="00913351" w:rsidP="0086258B">
      <w:pPr>
        <w:numPr>
          <w:ilvl w:val="0"/>
          <w:numId w:val="11"/>
        </w:numPr>
        <w:spacing w:before="120" w:after="240"/>
        <w:rPr>
          <w:rFonts w:cs="Arial"/>
          <w:szCs w:val="24"/>
          <w:lang w:eastAsia="en-GB"/>
        </w:rPr>
      </w:pPr>
      <w:r w:rsidRPr="006A6CE3">
        <w:rPr>
          <w:rFonts w:cs="Arial"/>
          <w:szCs w:val="24"/>
        </w:rPr>
        <w:t xml:space="preserve">Harvested timbers and other wood products, as well as residues of harvesting, should be reported in </w:t>
      </w:r>
      <w:r w:rsidRPr="006A6CE3">
        <w:rPr>
          <w:rFonts w:cs="Arial"/>
          <w:b/>
          <w:szCs w:val="24"/>
        </w:rPr>
        <w:t xml:space="preserve">absolute cubic meters per annum by type </w:t>
      </w:r>
      <w:r w:rsidRPr="006A6CE3">
        <w:rPr>
          <w:rFonts w:cs="Arial"/>
          <w:szCs w:val="24"/>
        </w:rPr>
        <w:t xml:space="preserve">of wood (prior to any drying process). </w:t>
      </w:r>
    </w:p>
    <w:p w:rsidR="00913351" w:rsidRPr="006A6CE3" w:rsidRDefault="00913351" w:rsidP="0086258B">
      <w:pPr>
        <w:numPr>
          <w:ilvl w:val="0"/>
          <w:numId w:val="11"/>
        </w:numPr>
        <w:spacing w:before="120" w:after="240"/>
        <w:rPr>
          <w:rFonts w:cs="Arial"/>
          <w:szCs w:val="24"/>
        </w:rPr>
      </w:pPr>
      <w:r w:rsidRPr="006A6CE3">
        <w:rPr>
          <w:rFonts w:cs="Arial"/>
          <w:szCs w:val="24"/>
        </w:rPr>
        <w:t xml:space="preserve">The geographical area that the wood was sourced from, whether from the organisation’s own plantation or outsourced producers and any evidence of whether the wood was sourced from sustainably managed forests should also </w:t>
      </w:r>
      <w:proofErr w:type="gramStart"/>
      <w:r w:rsidRPr="006A6CE3">
        <w:rPr>
          <w:rFonts w:cs="Arial"/>
          <w:szCs w:val="24"/>
        </w:rPr>
        <w:t>be</w:t>
      </w:r>
      <w:proofErr w:type="gramEnd"/>
      <w:r w:rsidRPr="006A6CE3">
        <w:rPr>
          <w:rFonts w:cs="Arial"/>
          <w:szCs w:val="24"/>
        </w:rPr>
        <w:t xml:space="preserve"> reported.</w:t>
      </w:r>
    </w:p>
    <w:p w:rsidR="00913351" w:rsidRPr="006A6CE3" w:rsidRDefault="00913351" w:rsidP="0086258B">
      <w:pPr>
        <w:numPr>
          <w:ilvl w:val="0"/>
          <w:numId w:val="11"/>
        </w:numPr>
        <w:spacing w:before="0" w:after="0" w:line="240" w:lineRule="auto"/>
        <w:rPr>
          <w:rFonts w:cs="Arial"/>
          <w:color w:val="000000"/>
          <w:szCs w:val="24"/>
        </w:rPr>
      </w:pPr>
      <w:r w:rsidRPr="006A6CE3">
        <w:rPr>
          <w:rFonts w:cs="Arial"/>
          <w:szCs w:val="24"/>
        </w:rPr>
        <w:t>You may find it useful to state whether the species harvested is listed on the Convention of International Trade in Endangered Species of Wild Fauna and Flora (CITES)</w:t>
      </w:r>
      <w:r w:rsidRPr="006A6CE3">
        <w:rPr>
          <w:rFonts w:cs="Arial"/>
          <w:color w:val="5E6E66"/>
          <w:szCs w:val="24"/>
          <w:lang w:eastAsia="en-GB"/>
        </w:rPr>
        <w:t xml:space="preserve"> </w:t>
      </w:r>
      <w:r w:rsidRPr="006A6CE3">
        <w:rPr>
          <w:rFonts w:cs="Arial"/>
          <w:color w:val="000000"/>
          <w:szCs w:val="24"/>
          <w:lang w:eastAsia="en-GB"/>
        </w:rPr>
        <w:t>and whether the species are Forest Stewardship Council (FSC)-certified, recycled or from sources that protect forest and communities.</w:t>
      </w:r>
    </w:p>
    <w:p w:rsidR="00913351" w:rsidRPr="006A6CE3" w:rsidRDefault="00913351" w:rsidP="00E204D9">
      <w:pPr>
        <w:rPr>
          <w:rFonts w:cs="Arial"/>
          <w:color w:val="000000"/>
          <w:szCs w:val="24"/>
        </w:rPr>
      </w:pPr>
      <w:r w:rsidRPr="006A6CE3">
        <w:rPr>
          <w:rFonts w:cs="Arial"/>
          <w:color w:val="000000"/>
          <w:szCs w:val="24"/>
        </w:rPr>
        <w:t xml:space="preserve">You should have a clear auditable supply chain for your materials and ensure where possible that your key materials are sustainably sourced and produced against recognised or certifiable standards such as FSC, MSC, Fairtrade or initiatives such as joint </w:t>
      </w:r>
      <w:hyperlink r:id="rId66" w:history="1">
        <w:r w:rsidRPr="006A6CE3">
          <w:rPr>
            <w:rStyle w:val="Hyperlink"/>
            <w:rFonts w:cs="Arial"/>
            <w:szCs w:val="24"/>
          </w:rPr>
          <w:t>The Strategy for Sustainable Construction</w:t>
        </w:r>
      </w:hyperlink>
      <w:r w:rsidRPr="006A6CE3">
        <w:rPr>
          <w:rStyle w:val="FootnoteReference"/>
          <w:rFonts w:cs="Arial"/>
          <w:color w:val="000000"/>
          <w:szCs w:val="24"/>
        </w:rPr>
        <w:footnoteReference w:id="64"/>
      </w:r>
      <w:r w:rsidRPr="006A6CE3">
        <w:rPr>
          <w:rFonts w:cs="Arial"/>
          <w:color w:val="000000"/>
          <w:szCs w:val="24"/>
        </w:rPr>
        <w:t xml:space="preserve"> . The UK Government Central Point of Expertise on Timber (</w:t>
      </w:r>
      <w:hyperlink r:id="rId67" w:history="1">
        <w:r w:rsidRPr="006A6CE3">
          <w:rPr>
            <w:rStyle w:val="Hyperlink"/>
            <w:rFonts w:cs="Arial"/>
            <w:szCs w:val="24"/>
          </w:rPr>
          <w:t>CPET</w:t>
        </w:r>
      </w:hyperlink>
      <w:r w:rsidRPr="006A6CE3">
        <w:rPr>
          <w:rFonts w:cs="Arial"/>
          <w:color w:val="000000"/>
          <w:szCs w:val="24"/>
        </w:rPr>
        <w:t>)</w:t>
      </w:r>
      <w:r w:rsidRPr="006A6CE3">
        <w:rPr>
          <w:rStyle w:val="FootnoteReference"/>
          <w:rFonts w:cs="Arial"/>
          <w:color w:val="000000"/>
          <w:szCs w:val="24"/>
        </w:rPr>
        <w:footnoteReference w:id="65"/>
      </w:r>
      <w:r w:rsidRPr="006A6CE3">
        <w:rPr>
          <w:rFonts w:cs="Arial"/>
          <w:color w:val="000000"/>
          <w:szCs w:val="24"/>
        </w:rPr>
        <w:t xml:space="preserve"> is also a useful resource.</w:t>
      </w:r>
    </w:p>
    <w:p w:rsidR="00913351" w:rsidRPr="006A6CE3" w:rsidRDefault="00913351" w:rsidP="00E204D9">
      <w:pPr>
        <w:pStyle w:val="Heading2"/>
        <w:rPr>
          <w:rFonts w:cs="Arial"/>
        </w:rPr>
      </w:pPr>
      <w:bookmarkStart w:id="225" w:name="_Toc358054494"/>
      <w:bookmarkStart w:id="226" w:name="_Toc358054580"/>
      <w:bookmarkStart w:id="227" w:name="_Toc358060220"/>
      <w:bookmarkStart w:id="228" w:name="_Toc358302293"/>
      <w:bookmarkStart w:id="229" w:name="_Toc380763578"/>
      <w:r w:rsidRPr="006A6CE3">
        <w:rPr>
          <w:rFonts w:cs="Arial"/>
        </w:rPr>
        <w:lastRenderedPageBreak/>
        <w:t>Normalisation factors</w:t>
      </w:r>
      <w:bookmarkEnd w:id="225"/>
      <w:bookmarkEnd w:id="226"/>
      <w:bookmarkEnd w:id="227"/>
      <w:bookmarkEnd w:id="228"/>
      <w:bookmarkEnd w:id="229"/>
    </w:p>
    <w:p w:rsidR="00913351" w:rsidRPr="006A6CE3" w:rsidRDefault="00913351" w:rsidP="00E204D9">
      <w:pPr>
        <w:rPr>
          <w:rFonts w:cs="Arial"/>
          <w:snapToGrid w:val="0"/>
        </w:rPr>
      </w:pPr>
      <w:r w:rsidRPr="006A6CE3">
        <w:rPr>
          <w:rFonts w:cs="Arial"/>
          <w:szCs w:val="24"/>
        </w:rPr>
        <w:t>You may wish to normalise your resource efficiency data to enable comparison that is useful to your organisation and/or its investors and stakeholders. G</w:t>
      </w:r>
      <w:r w:rsidRPr="006A6CE3">
        <w:rPr>
          <w:rFonts w:cs="Arial"/>
          <w:snapToGrid w:val="0"/>
        </w:rPr>
        <w:t xml:space="preserve">uidance in section two of the introduction (pg10) provides you with information on intensity ratios/metrics. If you are presenting data that is normalized please give a brief explanation of the ratios/metrics you have used. </w:t>
      </w:r>
    </w:p>
    <w:p w:rsidR="00913351" w:rsidRPr="006A6CE3" w:rsidRDefault="00913351" w:rsidP="00E204D9">
      <w:pPr>
        <w:pStyle w:val="Heading1"/>
        <w:rPr>
          <w:rFonts w:cs="Arial"/>
        </w:rPr>
      </w:pPr>
      <w:bookmarkStart w:id="230" w:name="_Chapter_7:_"/>
      <w:bookmarkEnd w:id="230"/>
      <w:r w:rsidRPr="006A6CE3">
        <w:rPr>
          <w:rFonts w:cs="Arial"/>
        </w:rPr>
        <w:br w:type="page"/>
      </w:r>
      <w:bookmarkStart w:id="231" w:name="_Toc358054495"/>
      <w:bookmarkStart w:id="232" w:name="_Toc358054581"/>
      <w:bookmarkStart w:id="233" w:name="_Toc358060221"/>
      <w:bookmarkStart w:id="234" w:name="_Toc358302294"/>
      <w:bookmarkStart w:id="235" w:name="_Toc380763579"/>
      <w:r w:rsidRPr="006A6CE3">
        <w:rPr>
          <w:rFonts w:cs="Arial"/>
        </w:rPr>
        <w:lastRenderedPageBreak/>
        <w:t>Chapter 7:  Emissions to Air, Land and Water</w:t>
      </w:r>
      <w:bookmarkEnd w:id="231"/>
      <w:bookmarkEnd w:id="232"/>
      <w:bookmarkEnd w:id="233"/>
      <w:bookmarkEnd w:id="234"/>
      <w:bookmarkEnd w:id="235"/>
    </w:p>
    <w:p w:rsidR="00913351" w:rsidRPr="006A6CE3" w:rsidRDefault="00441415" w:rsidP="00441415">
      <w:pPr>
        <w:rPr>
          <w:rFonts w:cs="Arial"/>
          <w:szCs w:val="24"/>
        </w:rPr>
      </w:pPr>
      <w:r w:rsidRPr="006A6CE3">
        <w:rPr>
          <w:rFonts w:cs="Arial"/>
        </w:rPr>
        <w:t xml:space="preserve">This chapter covers </w:t>
      </w:r>
      <w:r w:rsidR="00913351" w:rsidRPr="006A6CE3">
        <w:rPr>
          <w:rFonts w:cs="Arial"/>
        </w:rPr>
        <w:t xml:space="preserve">reporting of emissions to air, land and water, with the exception of greenhouse gases which are dealt with separately in </w:t>
      </w:r>
      <w:hyperlink w:anchor="_Chapter_2:_Guidance" w:history="1">
        <w:r w:rsidR="00913351" w:rsidRPr="00C53604">
          <w:rPr>
            <w:rStyle w:val="Hyperlink"/>
            <w:rFonts w:cs="Arial"/>
          </w:rPr>
          <w:t>chapters 2</w:t>
        </w:r>
      </w:hyperlink>
      <w:r w:rsidR="00913351" w:rsidRPr="006A6CE3">
        <w:rPr>
          <w:rFonts w:cs="Arial"/>
        </w:rPr>
        <w:t xml:space="preserve"> and </w:t>
      </w:r>
      <w:hyperlink w:anchor="_Chapter_3_–" w:history="1">
        <w:r w:rsidR="00913351" w:rsidRPr="00C53604">
          <w:rPr>
            <w:rStyle w:val="Hyperlink"/>
            <w:rFonts w:cs="Arial"/>
          </w:rPr>
          <w:t>3</w:t>
        </w:r>
      </w:hyperlink>
      <w:r w:rsidR="00913351" w:rsidRPr="006A6CE3">
        <w:rPr>
          <w:rFonts w:cs="Arial"/>
        </w:rPr>
        <w:t xml:space="preserve">. </w:t>
      </w:r>
    </w:p>
    <w:p w:rsidR="00913351" w:rsidRPr="006A6CE3" w:rsidRDefault="00913351" w:rsidP="00441415">
      <w:pPr>
        <w:rPr>
          <w:rFonts w:cs="Arial"/>
        </w:rPr>
      </w:pPr>
      <w:r w:rsidRPr="006A6CE3">
        <w:rPr>
          <w:rFonts w:cs="Arial"/>
          <w:szCs w:val="24"/>
        </w:rPr>
        <w:t>The aim of this chapter is to help you focus on those emissions (intentional or accidental) from your organisation’s operations and processes and how to report on them, including using</w:t>
      </w:r>
      <w:r w:rsidRPr="006A6CE3">
        <w:rPr>
          <w:rStyle w:val="Strong"/>
          <w:rFonts w:cs="Arial"/>
          <w:b w:val="0"/>
          <w:bCs w:val="0"/>
        </w:rPr>
        <w:t xml:space="preserve"> information from current permitting regimes</w:t>
      </w:r>
      <w:r w:rsidRPr="006A6CE3">
        <w:rPr>
          <w:rFonts w:cs="Arial"/>
        </w:rPr>
        <w:t xml:space="preserve">. </w:t>
      </w:r>
    </w:p>
    <w:p w:rsidR="00913351" w:rsidRPr="006A6CE3" w:rsidRDefault="00913351" w:rsidP="00441415">
      <w:pPr>
        <w:rPr>
          <w:rFonts w:cs="Arial"/>
          <w:szCs w:val="24"/>
        </w:rPr>
      </w:pPr>
      <w:r w:rsidRPr="006A6CE3">
        <w:rPr>
          <w:rFonts w:cs="Arial"/>
          <w:szCs w:val="24"/>
        </w:rPr>
        <w:t xml:space="preserve">The table below summarises the main emissions and where they are likely to be emitted (air/land/water). </w:t>
      </w:r>
      <w:r w:rsidRPr="006A6CE3">
        <w:rPr>
          <w:rFonts w:cs="Arial"/>
        </w:rPr>
        <w:t>The Annex to this chapter explores in greater detail the background behind the reporting recommendations and provides further details about the relevant legislation.</w:t>
      </w:r>
    </w:p>
    <w:p w:rsidR="00913351" w:rsidRPr="006A6CE3" w:rsidRDefault="00913351" w:rsidP="00E204D9">
      <w:pPr>
        <w:pStyle w:val="NoSpacing"/>
        <w:rPr>
          <w:rFonts w:ascii="Arial" w:hAnsi="Arial" w:cs="Arial"/>
          <w:szCs w:val="24"/>
        </w:rPr>
      </w:pPr>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2200"/>
        <w:gridCol w:w="2084"/>
        <w:gridCol w:w="2116"/>
        <w:gridCol w:w="2128"/>
      </w:tblGrid>
      <w:tr w:rsidR="00C64465" w:rsidRPr="006A6CE3" w:rsidTr="00AA48B1">
        <w:tc>
          <w:tcPr>
            <w:tcW w:w="2310" w:type="dxa"/>
            <w:shd w:val="clear" w:color="auto" w:fill="878800"/>
          </w:tcPr>
          <w:p w:rsidR="00913351" w:rsidRPr="006A6CE3" w:rsidRDefault="00913351" w:rsidP="00E204D9">
            <w:pPr>
              <w:pStyle w:val="NoSpacing"/>
              <w:rPr>
                <w:rFonts w:ascii="Arial" w:hAnsi="Arial" w:cs="Arial"/>
                <w:b/>
                <w:color w:val="FFFFFF"/>
                <w:sz w:val="24"/>
                <w:szCs w:val="24"/>
                <w:lang w:bidi="en-US"/>
              </w:rPr>
            </w:pPr>
            <w:r w:rsidRPr="006A6CE3">
              <w:rPr>
                <w:rFonts w:ascii="Arial" w:hAnsi="Arial" w:cs="Arial"/>
                <w:b/>
                <w:color w:val="FFFFFF"/>
                <w:sz w:val="24"/>
                <w:szCs w:val="24"/>
                <w:lang w:bidi="en-US"/>
              </w:rPr>
              <w:t>Emission</w:t>
            </w:r>
          </w:p>
        </w:tc>
        <w:tc>
          <w:tcPr>
            <w:tcW w:w="2310" w:type="dxa"/>
            <w:shd w:val="clear" w:color="auto" w:fill="878800"/>
          </w:tcPr>
          <w:p w:rsidR="00913351" w:rsidRPr="006A6CE3" w:rsidRDefault="00913351" w:rsidP="00E204D9">
            <w:pPr>
              <w:pStyle w:val="NoSpacing"/>
              <w:rPr>
                <w:rFonts w:ascii="Arial" w:hAnsi="Arial" w:cs="Arial"/>
                <w:b/>
                <w:color w:val="FFFFFF"/>
                <w:sz w:val="24"/>
                <w:szCs w:val="24"/>
                <w:lang w:bidi="en-US"/>
              </w:rPr>
            </w:pPr>
            <w:r w:rsidRPr="006A6CE3">
              <w:rPr>
                <w:rFonts w:ascii="Arial" w:hAnsi="Arial" w:cs="Arial"/>
                <w:b/>
                <w:color w:val="FFFFFF"/>
                <w:sz w:val="24"/>
                <w:szCs w:val="24"/>
                <w:lang w:bidi="en-US"/>
              </w:rPr>
              <w:t>Air</w:t>
            </w:r>
          </w:p>
        </w:tc>
        <w:tc>
          <w:tcPr>
            <w:tcW w:w="2311" w:type="dxa"/>
            <w:shd w:val="clear" w:color="auto" w:fill="878800"/>
          </w:tcPr>
          <w:p w:rsidR="00913351" w:rsidRPr="006A6CE3" w:rsidRDefault="00913351" w:rsidP="00E204D9">
            <w:pPr>
              <w:pStyle w:val="NoSpacing"/>
              <w:rPr>
                <w:rFonts w:ascii="Arial" w:hAnsi="Arial" w:cs="Arial"/>
                <w:b/>
                <w:color w:val="FFFFFF"/>
                <w:sz w:val="24"/>
                <w:szCs w:val="24"/>
                <w:lang w:bidi="en-US"/>
              </w:rPr>
            </w:pPr>
            <w:r w:rsidRPr="006A6CE3">
              <w:rPr>
                <w:rFonts w:ascii="Arial" w:hAnsi="Arial" w:cs="Arial"/>
                <w:b/>
                <w:color w:val="FFFFFF"/>
                <w:sz w:val="24"/>
                <w:szCs w:val="24"/>
                <w:lang w:bidi="en-US"/>
              </w:rPr>
              <w:t>Land</w:t>
            </w:r>
          </w:p>
        </w:tc>
        <w:tc>
          <w:tcPr>
            <w:tcW w:w="2311" w:type="dxa"/>
            <w:shd w:val="clear" w:color="auto" w:fill="878800"/>
          </w:tcPr>
          <w:p w:rsidR="00913351" w:rsidRPr="006A6CE3" w:rsidRDefault="00913351" w:rsidP="00E204D9">
            <w:pPr>
              <w:pStyle w:val="NoSpacing"/>
              <w:rPr>
                <w:rFonts w:ascii="Arial" w:hAnsi="Arial" w:cs="Arial"/>
                <w:b/>
                <w:color w:val="FFFFFF"/>
                <w:sz w:val="24"/>
                <w:szCs w:val="24"/>
                <w:lang w:bidi="en-US"/>
              </w:rPr>
            </w:pPr>
            <w:r w:rsidRPr="006A6CE3">
              <w:rPr>
                <w:rFonts w:ascii="Arial" w:hAnsi="Arial" w:cs="Arial"/>
                <w:b/>
                <w:color w:val="FFFFFF"/>
                <w:sz w:val="24"/>
                <w:szCs w:val="24"/>
                <w:lang w:bidi="en-US"/>
              </w:rPr>
              <w:t>Water</w:t>
            </w:r>
          </w:p>
        </w:tc>
      </w:tr>
      <w:tr w:rsidR="00C64465" w:rsidRPr="006A6CE3" w:rsidTr="00AA48B1">
        <w:tc>
          <w:tcPr>
            <w:tcW w:w="2310" w:type="dxa"/>
            <w:shd w:val="clear" w:color="auto" w:fill="FFFFFF"/>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Oxides of nitrogen</w:t>
            </w:r>
          </w:p>
          <w:p w:rsidR="00913351" w:rsidRPr="006A6CE3" w:rsidRDefault="00913351" w:rsidP="00E204D9">
            <w:pPr>
              <w:pStyle w:val="NoSpacing"/>
              <w:rPr>
                <w:rFonts w:ascii="Arial" w:hAnsi="Arial" w:cs="Arial"/>
                <w:sz w:val="24"/>
                <w:szCs w:val="24"/>
                <w:lang w:bidi="en-US"/>
              </w:rPr>
            </w:pPr>
          </w:p>
        </w:tc>
        <w:tc>
          <w:tcPr>
            <w:tcW w:w="2310" w:type="dxa"/>
            <w:shd w:val="clear" w:color="auto" w:fill="auto"/>
          </w:tcPr>
          <w:p w:rsidR="00913351" w:rsidRPr="006A6CE3" w:rsidRDefault="00913351" w:rsidP="00E204D9">
            <w:pPr>
              <w:pStyle w:val="NoSpacing"/>
              <w:rPr>
                <w:rFonts w:ascii="Arial" w:hAnsi="Arial" w:cs="Arial"/>
                <w:b/>
                <w:sz w:val="24"/>
                <w:szCs w:val="24"/>
                <w:lang w:bidi="en-US"/>
              </w:rPr>
            </w:pPr>
            <w:r w:rsidRPr="006A6CE3">
              <w:rPr>
                <w:rFonts w:ascii="Arial" w:hAnsi="Arial" w:cs="Arial"/>
                <w:b/>
                <w:sz w:val="24"/>
                <w:szCs w:val="24"/>
                <w:lang w:bidi="en-US"/>
              </w:rPr>
              <w:t>x</w:t>
            </w:r>
          </w:p>
        </w:tc>
        <w:tc>
          <w:tcPr>
            <w:tcW w:w="2311" w:type="dxa"/>
            <w:shd w:val="clear" w:color="auto" w:fill="auto"/>
          </w:tcPr>
          <w:p w:rsidR="00913351" w:rsidRPr="006A6CE3" w:rsidRDefault="00913351" w:rsidP="00E204D9">
            <w:pPr>
              <w:pStyle w:val="NoSpacing"/>
              <w:rPr>
                <w:rFonts w:ascii="Arial" w:hAnsi="Arial" w:cs="Arial"/>
                <w:b/>
                <w:sz w:val="24"/>
                <w:szCs w:val="24"/>
                <w:lang w:bidi="en-US"/>
              </w:rPr>
            </w:pPr>
          </w:p>
        </w:tc>
        <w:tc>
          <w:tcPr>
            <w:tcW w:w="2311" w:type="dxa"/>
            <w:shd w:val="clear" w:color="auto" w:fill="auto"/>
          </w:tcPr>
          <w:p w:rsidR="00913351" w:rsidRPr="006A6CE3" w:rsidRDefault="00913351" w:rsidP="00E204D9">
            <w:pPr>
              <w:pStyle w:val="NoSpacing"/>
              <w:rPr>
                <w:rFonts w:ascii="Arial" w:hAnsi="Arial" w:cs="Arial"/>
                <w:b/>
                <w:sz w:val="24"/>
                <w:szCs w:val="24"/>
                <w:lang w:bidi="en-US"/>
              </w:rPr>
            </w:pPr>
          </w:p>
        </w:tc>
      </w:tr>
      <w:tr w:rsidR="00C64465" w:rsidRPr="006A6CE3" w:rsidTr="00AA48B1">
        <w:tc>
          <w:tcPr>
            <w:tcW w:w="2310" w:type="dxa"/>
            <w:shd w:val="clear" w:color="auto" w:fill="FFFFFF"/>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Particulate matter (PM)</w:t>
            </w:r>
          </w:p>
        </w:tc>
        <w:tc>
          <w:tcPr>
            <w:tcW w:w="2310" w:type="dxa"/>
            <w:shd w:val="clear" w:color="auto" w:fill="auto"/>
          </w:tcPr>
          <w:p w:rsidR="00913351" w:rsidRPr="006A6CE3" w:rsidRDefault="00913351" w:rsidP="00E204D9">
            <w:pPr>
              <w:pStyle w:val="NoSpacing"/>
              <w:rPr>
                <w:rFonts w:ascii="Arial" w:hAnsi="Arial" w:cs="Arial"/>
                <w:b/>
                <w:sz w:val="24"/>
                <w:szCs w:val="24"/>
                <w:lang w:bidi="en-US"/>
              </w:rPr>
            </w:pPr>
            <w:r w:rsidRPr="006A6CE3">
              <w:rPr>
                <w:rFonts w:ascii="Arial" w:hAnsi="Arial" w:cs="Arial"/>
                <w:b/>
                <w:sz w:val="24"/>
                <w:szCs w:val="24"/>
                <w:lang w:bidi="en-US"/>
              </w:rPr>
              <w:t>x</w:t>
            </w:r>
          </w:p>
        </w:tc>
        <w:tc>
          <w:tcPr>
            <w:tcW w:w="2311" w:type="dxa"/>
            <w:shd w:val="clear" w:color="auto" w:fill="auto"/>
          </w:tcPr>
          <w:p w:rsidR="00913351" w:rsidRPr="006A6CE3" w:rsidRDefault="00913351" w:rsidP="00E204D9">
            <w:pPr>
              <w:pStyle w:val="NoSpacing"/>
              <w:rPr>
                <w:rFonts w:ascii="Arial" w:hAnsi="Arial" w:cs="Arial"/>
                <w:b/>
                <w:sz w:val="24"/>
                <w:szCs w:val="24"/>
                <w:lang w:bidi="en-US"/>
              </w:rPr>
            </w:pPr>
          </w:p>
        </w:tc>
        <w:tc>
          <w:tcPr>
            <w:tcW w:w="2311" w:type="dxa"/>
            <w:shd w:val="clear" w:color="auto" w:fill="auto"/>
          </w:tcPr>
          <w:p w:rsidR="00913351" w:rsidRPr="006A6CE3" w:rsidRDefault="00913351" w:rsidP="00E204D9">
            <w:pPr>
              <w:pStyle w:val="NoSpacing"/>
              <w:rPr>
                <w:rFonts w:ascii="Arial" w:hAnsi="Arial" w:cs="Arial"/>
                <w:b/>
                <w:sz w:val="24"/>
                <w:szCs w:val="24"/>
                <w:lang w:bidi="en-US"/>
              </w:rPr>
            </w:pPr>
          </w:p>
        </w:tc>
      </w:tr>
      <w:tr w:rsidR="00C64465" w:rsidRPr="006A6CE3" w:rsidTr="00AA48B1">
        <w:tc>
          <w:tcPr>
            <w:tcW w:w="2310" w:type="dxa"/>
            <w:shd w:val="clear" w:color="auto" w:fill="FFFFFF"/>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Sulphur oxides</w:t>
            </w:r>
          </w:p>
          <w:p w:rsidR="00913351" w:rsidRPr="006A6CE3" w:rsidRDefault="00913351" w:rsidP="00E204D9">
            <w:pPr>
              <w:pStyle w:val="NoSpacing"/>
              <w:rPr>
                <w:rFonts w:ascii="Arial" w:hAnsi="Arial" w:cs="Arial"/>
                <w:sz w:val="24"/>
                <w:szCs w:val="24"/>
                <w:lang w:bidi="en-US"/>
              </w:rPr>
            </w:pPr>
          </w:p>
          <w:p w:rsidR="00913351" w:rsidRPr="006A6CE3" w:rsidRDefault="00913351" w:rsidP="00E204D9">
            <w:pPr>
              <w:pStyle w:val="NoSpacing"/>
              <w:rPr>
                <w:rFonts w:ascii="Arial" w:hAnsi="Arial" w:cs="Arial"/>
                <w:sz w:val="24"/>
                <w:szCs w:val="24"/>
                <w:lang w:bidi="en-US"/>
              </w:rPr>
            </w:pPr>
          </w:p>
        </w:tc>
        <w:tc>
          <w:tcPr>
            <w:tcW w:w="2310" w:type="dxa"/>
            <w:shd w:val="clear" w:color="auto" w:fill="auto"/>
          </w:tcPr>
          <w:p w:rsidR="00913351" w:rsidRPr="006A6CE3" w:rsidRDefault="00913351" w:rsidP="00E204D9">
            <w:pPr>
              <w:pStyle w:val="NoSpacing"/>
              <w:rPr>
                <w:rFonts w:ascii="Arial" w:hAnsi="Arial" w:cs="Arial"/>
                <w:b/>
                <w:sz w:val="24"/>
                <w:szCs w:val="24"/>
                <w:lang w:bidi="en-US"/>
              </w:rPr>
            </w:pPr>
            <w:r w:rsidRPr="006A6CE3">
              <w:rPr>
                <w:rFonts w:ascii="Arial" w:hAnsi="Arial" w:cs="Arial"/>
                <w:b/>
                <w:sz w:val="24"/>
                <w:szCs w:val="24"/>
                <w:lang w:bidi="en-US"/>
              </w:rPr>
              <w:t>x</w:t>
            </w:r>
          </w:p>
        </w:tc>
        <w:tc>
          <w:tcPr>
            <w:tcW w:w="2311" w:type="dxa"/>
            <w:shd w:val="clear" w:color="auto" w:fill="auto"/>
          </w:tcPr>
          <w:p w:rsidR="00913351" w:rsidRPr="006A6CE3" w:rsidRDefault="00913351" w:rsidP="00E204D9">
            <w:pPr>
              <w:pStyle w:val="NoSpacing"/>
              <w:rPr>
                <w:rFonts w:ascii="Arial" w:hAnsi="Arial" w:cs="Arial"/>
                <w:b/>
                <w:sz w:val="24"/>
                <w:szCs w:val="24"/>
                <w:lang w:bidi="en-US"/>
              </w:rPr>
            </w:pPr>
          </w:p>
        </w:tc>
        <w:tc>
          <w:tcPr>
            <w:tcW w:w="2311" w:type="dxa"/>
            <w:shd w:val="clear" w:color="auto" w:fill="auto"/>
          </w:tcPr>
          <w:p w:rsidR="00913351" w:rsidRPr="006A6CE3" w:rsidRDefault="00913351" w:rsidP="00E204D9">
            <w:pPr>
              <w:pStyle w:val="NoSpacing"/>
              <w:rPr>
                <w:rFonts w:ascii="Arial" w:hAnsi="Arial" w:cs="Arial"/>
                <w:b/>
                <w:sz w:val="24"/>
                <w:szCs w:val="24"/>
                <w:lang w:bidi="en-US"/>
              </w:rPr>
            </w:pPr>
          </w:p>
        </w:tc>
      </w:tr>
      <w:tr w:rsidR="00C64465" w:rsidRPr="006A6CE3" w:rsidTr="00AA48B1">
        <w:tc>
          <w:tcPr>
            <w:tcW w:w="2310" w:type="dxa"/>
            <w:shd w:val="clear" w:color="auto" w:fill="FFFFFF"/>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Acid and Organic chemicals</w:t>
            </w:r>
          </w:p>
        </w:tc>
        <w:tc>
          <w:tcPr>
            <w:tcW w:w="2310" w:type="dxa"/>
            <w:shd w:val="clear" w:color="auto" w:fill="auto"/>
          </w:tcPr>
          <w:p w:rsidR="00913351" w:rsidRPr="006A6CE3" w:rsidRDefault="00913351" w:rsidP="00E204D9">
            <w:pPr>
              <w:pStyle w:val="NoSpacing"/>
              <w:rPr>
                <w:rFonts w:ascii="Arial" w:hAnsi="Arial" w:cs="Arial"/>
                <w:b/>
                <w:sz w:val="24"/>
                <w:szCs w:val="24"/>
                <w:lang w:bidi="en-US"/>
              </w:rPr>
            </w:pPr>
            <w:r w:rsidRPr="006A6CE3">
              <w:rPr>
                <w:rFonts w:ascii="Arial" w:hAnsi="Arial" w:cs="Arial"/>
                <w:b/>
                <w:sz w:val="24"/>
                <w:szCs w:val="24"/>
                <w:lang w:bidi="en-US"/>
              </w:rPr>
              <w:t>x</w:t>
            </w:r>
          </w:p>
        </w:tc>
        <w:tc>
          <w:tcPr>
            <w:tcW w:w="2311" w:type="dxa"/>
            <w:shd w:val="clear" w:color="auto" w:fill="auto"/>
          </w:tcPr>
          <w:p w:rsidR="00913351" w:rsidRPr="006A6CE3" w:rsidRDefault="00913351" w:rsidP="00E204D9">
            <w:pPr>
              <w:pStyle w:val="NoSpacing"/>
              <w:rPr>
                <w:rFonts w:ascii="Arial" w:hAnsi="Arial" w:cs="Arial"/>
                <w:b/>
                <w:sz w:val="24"/>
                <w:szCs w:val="24"/>
                <w:lang w:bidi="en-US"/>
              </w:rPr>
            </w:pPr>
            <w:r w:rsidRPr="006A6CE3">
              <w:rPr>
                <w:rFonts w:ascii="Arial" w:hAnsi="Arial" w:cs="Arial"/>
                <w:b/>
                <w:sz w:val="24"/>
                <w:szCs w:val="24"/>
                <w:lang w:bidi="en-US"/>
              </w:rPr>
              <w:t>x</w:t>
            </w:r>
          </w:p>
        </w:tc>
        <w:tc>
          <w:tcPr>
            <w:tcW w:w="2311" w:type="dxa"/>
            <w:shd w:val="clear" w:color="auto" w:fill="auto"/>
          </w:tcPr>
          <w:p w:rsidR="00913351" w:rsidRPr="006A6CE3" w:rsidRDefault="00913351" w:rsidP="00E204D9">
            <w:pPr>
              <w:pStyle w:val="NoSpacing"/>
              <w:rPr>
                <w:rFonts w:ascii="Arial" w:hAnsi="Arial" w:cs="Arial"/>
                <w:b/>
                <w:sz w:val="24"/>
                <w:szCs w:val="24"/>
                <w:lang w:bidi="en-US"/>
              </w:rPr>
            </w:pPr>
            <w:r w:rsidRPr="006A6CE3">
              <w:rPr>
                <w:rFonts w:ascii="Arial" w:hAnsi="Arial" w:cs="Arial"/>
                <w:b/>
                <w:sz w:val="24"/>
                <w:szCs w:val="24"/>
                <w:lang w:bidi="en-US"/>
              </w:rPr>
              <w:t>x</w:t>
            </w:r>
          </w:p>
        </w:tc>
      </w:tr>
      <w:tr w:rsidR="00C64465" w:rsidRPr="006A6CE3" w:rsidTr="00AA48B1">
        <w:tc>
          <w:tcPr>
            <w:tcW w:w="2310" w:type="dxa"/>
            <w:shd w:val="clear" w:color="auto" w:fill="FFFFFF"/>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Nutrients and organic pollutants</w:t>
            </w:r>
          </w:p>
          <w:p w:rsidR="00913351" w:rsidRPr="006A6CE3" w:rsidRDefault="00913351" w:rsidP="00E204D9">
            <w:pPr>
              <w:pStyle w:val="NoSpacing"/>
              <w:rPr>
                <w:rFonts w:ascii="Arial" w:hAnsi="Arial" w:cs="Arial"/>
                <w:sz w:val="24"/>
                <w:szCs w:val="24"/>
                <w:lang w:bidi="en-US"/>
              </w:rPr>
            </w:pPr>
          </w:p>
        </w:tc>
        <w:tc>
          <w:tcPr>
            <w:tcW w:w="2310" w:type="dxa"/>
            <w:shd w:val="clear" w:color="auto" w:fill="auto"/>
          </w:tcPr>
          <w:p w:rsidR="00913351" w:rsidRPr="006A6CE3" w:rsidRDefault="00913351" w:rsidP="00E204D9">
            <w:pPr>
              <w:pStyle w:val="NoSpacing"/>
              <w:rPr>
                <w:rFonts w:ascii="Arial" w:hAnsi="Arial" w:cs="Arial"/>
                <w:b/>
                <w:sz w:val="24"/>
                <w:szCs w:val="24"/>
                <w:lang w:bidi="en-US"/>
              </w:rPr>
            </w:pPr>
          </w:p>
        </w:tc>
        <w:tc>
          <w:tcPr>
            <w:tcW w:w="2311" w:type="dxa"/>
            <w:shd w:val="clear" w:color="auto" w:fill="auto"/>
          </w:tcPr>
          <w:p w:rsidR="00913351" w:rsidRPr="006A6CE3" w:rsidRDefault="00913351" w:rsidP="00E204D9">
            <w:pPr>
              <w:pStyle w:val="NoSpacing"/>
              <w:rPr>
                <w:rFonts w:ascii="Arial" w:hAnsi="Arial" w:cs="Arial"/>
                <w:b/>
                <w:sz w:val="24"/>
                <w:szCs w:val="24"/>
                <w:lang w:bidi="en-US"/>
              </w:rPr>
            </w:pPr>
            <w:r w:rsidRPr="006A6CE3">
              <w:rPr>
                <w:rFonts w:ascii="Arial" w:hAnsi="Arial" w:cs="Arial"/>
                <w:b/>
                <w:sz w:val="24"/>
                <w:szCs w:val="24"/>
                <w:lang w:bidi="en-US"/>
              </w:rPr>
              <w:t>x</w:t>
            </w:r>
          </w:p>
        </w:tc>
        <w:tc>
          <w:tcPr>
            <w:tcW w:w="2311" w:type="dxa"/>
            <w:shd w:val="clear" w:color="auto" w:fill="auto"/>
          </w:tcPr>
          <w:p w:rsidR="00913351" w:rsidRPr="006A6CE3" w:rsidRDefault="00913351" w:rsidP="00E204D9">
            <w:pPr>
              <w:pStyle w:val="NoSpacing"/>
              <w:rPr>
                <w:rFonts w:ascii="Arial" w:hAnsi="Arial" w:cs="Arial"/>
                <w:b/>
                <w:sz w:val="24"/>
                <w:szCs w:val="24"/>
                <w:lang w:bidi="en-US"/>
              </w:rPr>
            </w:pPr>
            <w:r w:rsidRPr="006A6CE3">
              <w:rPr>
                <w:rFonts w:ascii="Arial" w:hAnsi="Arial" w:cs="Arial"/>
                <w:b/>
                <w:sz w:val="24"/>
                <w:szCs w:val="24"/>
                <w:lang w:bidi="en-US"/>
              </w:rPr>
              <w:t>x</w:t>
            </w:r>
          </w:p>
        </w:tc>
      </w:tr>
      <w:tr w:rsidR="00C64465" w:rsidRPr="006A6CE3" w:rsidTr="00AA48B1">
        <w:tc>
          <w:tcPr>
            <w:tcW w:w="2310" w:type="dxa"/>
            <w:shd w:val="clear" w:color="auto" w:fill="FFFFFF"/>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Volatile organic compounds (VOCs)</w:t>
            </w:r>
          </w:p>
        </w:tc>
        <w:tc>
          <w:tcPr>
            <w:tcW w:w="2310" w:type="dxa"/>
            <w:shd w:val="clear" w:color="auto" w:fill="auto"/>
          </w:tcPr>
          <w:p w:rsidR="00913351" w:rsidRPr="006A6CE3" w:rsidRDefault="00913351" w:rsidP="00E204D9">
            <w:pPr>
              <w:pStyle w:val="NoSpacing"/>
              <w:rPr>
                <w:rFonts w:ascii="Arial" w:hAnsi="Arial" w:cs="Arial"/>
                <w:b/>
                <w:sz w:val="24"/>
                <w:szCs w:val="24"/>
                <w:lang w:bidi="en-US"/>
              </w:rPr>
            </w:pPr>
            <w:r w:rsidRPr="006A6CE3">
              <w:rPr>
                <w:rFonts w:ascii="Arial" w:hAnsi="Arial" w:cs="Arial"/>
                <w:b/>
                <w:sz w:val="24"/>
                <w:szCs w:val="24"/>
                <w:lang w:bidi="en-US"/>
              </w:rPr>
              <w:t>x</w:t>
            </w:r>
          </w:p>
        </w:tc>
        <w:tc>
          <w:tcPr>
            <w:tcW w:w="2311" w:type="dxa"/>
            <w:shd w:val="clear" w:color="auto" w:fill="auto"/>
          </w:tcPr>
          <w:p w:rsidR="00913351" w:rsidRPr="006A6CE3" w:rsidRDefault="00913351" w:rsidP="00E204D9">
            <w:pPr>
              <w:pStyle w:val="NoSpacing"/>
              <w:rPr>
                <w:rFonts w:ascii="Arial" w:hAnsi="Arial" w:cs="Arial"/>
                <w:b/>
                <w:sz w:val="24"/>
                <w:szCs w:val="24"/>
                <w:lang w:bidi="en-US"/>
              </w:rPr>
            </w:pPr>
          </w:p>
        </w:tc>
        <w:tc>
          <w:tcPr>
            <w:tcW w:w="2311" w:type="dxa"/>
            <w:shd w:val="clear" w:color="auto" w:fill="auto"/>
          </w:tcPr>
          <w:p w:rsidR="00913351" w:rsidRPr="006A6CE3" w:rsidRDefault="00913351" w:rsidP="00E204D9">
            <w:pPr>
              <w:pStyle w:val="NoSpacing"/>
              <w:rPr>
                <w:rFonts w:ascii="Arial" w:hAnsi="Arial" w:cs="Arial"/>
                <w:b/>
                <w:sz w:val="24"/>
                <w:szCs w:val="24"/>
                <w:lang w:bidi="en-US"/>
              </w:rPr>
            </w:pPr>
          </w:p>
        </w:tc>
      </w:tr>
      <w:tr w:rsidR="00C64465" w:rsidRPr="006A6CE3" w:rsidTr="00AA48B1">
        <w:tc>
          <w:tcPr>
            <w:tcW w:w="2310" w:type="dxa"/>
            <w:shd w:val="clear" w:color="auto" w:fill="FFFFFF"/>
          </w:tcPr>
          <w:p w:rsidR="00913351" w:rsidRPr="006A6CE3" w:rsidRDefault="00913351" w:rsidP="00E204D9">
            <w:pPr>
              <w:pStyle w:val="NoSpacing"/>
              <w:rPr>
                <w:rFonts w:ascii="Arial" w:hAnsi="Arial" w:cs="Arial"/>
                <w:sz w:val="24"/>
                <w:szCs w:val="24"/>
                <w:lang w:bidi="en-US"/>
              </w:rPr>
            </w:pPr>
            <w:r w:rsidRPr="006A6CE3">
              <w:rPr>
                <w:rFonts w:ascii="Arial" w:hAnsi="Arial" w:cs="Arial"/>
                <w:sz w:val="24"/>
                <w:szCs w:val="24"/>
                <w:lang w:bidi="en-US"/>
              </w:rPr>
              <w:t>Metal emissions</w:t>
            </w:r>
          </w:p>
          <w:p w:rsidR="00913351" w:rsidRPr="006A6CE3" w:rsidRDefault="00913351" w:rsidP="00E204D9">
            <w:pPr>
              <w:pStyle w:val="NoSpacing"/>
              <w:rPr>
                <w:rFonts w:ascii="Arial" w:hAnsi="Arial" w:cs="Arial"/>
                <w:sz w:val="24"/>
                <w:szCs w:val="24"/>
                <w:lang w:bidi="en-US"/>
              </w:rPr>
            </w:pPr>
          </w:p>
          <w:p w:rsidR="00913351" w:rsidRPr="006A6CE3" w:rsidRDefault="00913351" w:rsidP="00E204D9">
            <w:pPr>
              <w:pStyle w:val="NoSpacing"/>
              <w:rPr>
                <w:rFonts w:ascii="Arial" w:hAnsi="Arial" w:cs="Arial"/>
                <w:sz w:val="24"/>
                <w:szCs w:val="24"/>
                <w:lang w:bidi="en-US"/>
              </w:rPr>
            </w:pPr>
          </w:p>
        </w:tc>
        <w:tc>
          <w:tcPr>
            <w:tcW w:w="2310" w:type="dxa"/>
            <w:shd w:val="clear" w:color="auto" w:fill="auto"/>
          </w:tcPr>
          <w:p w:rsidR="00913351" w:rsidRPr="006A6CE3" w:rsidRDefault="00913351" w:rsidP="00E204D9">
            <w:pPr>
              <w:pStyle w:val="NoSpacing"/>
              <w:rPr>
                <w:rFonts w:ascii="Arial" w:hAnsi="Arial" w:cs="Arial"/>
                <w:b/>
                <w:sz w:val="24"/>
                <w:szCs w:val="24"/>
                <w:lang w:bidi="en-US"/>
              </w:rPr>
            </w:pPr>
            <w:r w:rsidRPr="006A6CE3">
              <w:rPr>
                <w:rFonts w:ascii="Arial" w:hAnsi="Arial" w:cs="Arial"/>
                <w:b/>
                <w:sz w:val="24"/>
                <w:szCs w:val="24"/>
                <w:lang w:bidi="en-US"/>
              </w:rPr>
              <w:t>x</w:t>
            </w:r>
          </w:p>
        </w:tc>
        <w:tc>
          <w:tcPr>
            <w:tcW w:w="2311" w:type="dxa"/>
            <w:shd w:val="clear" w:color="auto" w:fill="auto"/>
          </w:tcPr>
          <w:p w:rsidR="00913351" w:rsidRPr="006A6CE3" w:rsidRDefault="00913351" w:rsidP="00E204D9">
            <w:pPr>
              <w:pStyle w:val="NoSpacing"/>
              <w:rPr>
                <w:rFonts w:ascii="Arial" w:hAnsi="Arial" w:cs="Arial"/>
                <w:b/>
                <w:sz w:val="24"/>
                <w:szCs w:val="24"/>
                <w:lang w:bidi="en-US"/>
              </w:rPr>
            </w:pPr>
            <w:r w:rsidRPr="006A6CE3">
              <w:rPr>
                <w:rFonts w:ascii="Arial" w:hAnsi="Arial" w:cs="Arial"/>
                <w:b/>
                <w:sz w:val="24"/>
                <w:szCs w:val="24"/>
                <w:lang w:bidi="en-US"/>
              </w:rPr>
              <w:t>x</w:t>
            </w:r>
          </w:p>
        </w:tc>
        <w:tc>
          <w:tcPr>
            <w:tcW w:w="2311" w:type="dxa"/>
            <w:shd w:val="clear" w:color="auto" w:fill="auto"/>
          </w:tcPr>
          <w:p w:rsidR="00913351" w:rsidRPr="006A6CE3" w:rsidRDefault="00913351" w:rsidP="00E204D9">
            <w:pPr>
              <w:pStyle w:val="NoSpacing"/>
              <w:rPr>
                <w:rFonts w:ascii="Arial" w:hAnsi="Arial" w:cs="Arial"/>
                <w:b/>
                <w:sz w:val="24"/>
                <w:szCs w:val="24"/>
                <w:lang w:bidi="en-US"/>
              </w:rPr>
            </w:pPr>
            <w:r w:rsidRPr="006A6CE3">
              <w:rPr>
                <w:rFonts w:ascii="Arial" w:hAnsi="Arial" w:cs="Arial"/>
                <w:b/>
                <w:sz w:val="24"/>
                <w:szCs w:val="24"/>
                <w:lang w:bidi="en-US"/>
              </w:rPr>
              <w:t>x</w:t>
            </w:r>
          </w:p>
        </w:tc>
      </w:tr>
    </w:tbl>
    <w:p w:rsidR="00913351" w:rsidRPr="006A6CE3" w:rsidRDefault="00913351" w:rsidP="00E204D9">
      <w:pPr>
        <w:pStyle w:val="NoSpacing"/>
        <w:rPr>
          <w:rFonts w:ascii="Arial" w:hAnsi="Arial" w:cs="Arial"/>
          <w:szCs w:val="24"/>
        </w:rPr>
      </w:pPr>
    </w:p>
    <w:p w:rsidR="00913351" w:rsidRPr="006A6CE3" w:rsidRDefault="00913351" w:rsidP="00E204D9">
      <w:pPr>
        <w:pStyle w:val="Heading2"/>
        <w:rPr>
          <w:rFonts w:cs="Arial"/>
        </w:rPr>
      </w:pPr>
      <w:bookmarkStart w:id="236" w:name="_Toc358054496"/>
      <w:bookmarkStart w:id="237" w:name="_Toc358054582"/>
      <w:bookmarkStart w:id="238" w:name="_Toc358060222"/>
      <w:bookmarkStart w:id="239" w:name="_Toc358302295"/>
      <w:bookmarkStart w:id="240" w:name="_Toc380763580"/>
      <w:r w:rsidRPr="006A6CE3">
        <w:rPr>
          <w:rFonts w:cs="Arial"/>
        </w:rPr>
        <w:t>Why this matters to business</w:t>
      </w:r>
      <w:bookmarkEnd w:id="236"/>
      <w:bookmarkEnd w:id="237"/>
      <w:bookmarkEnd w:id="238"/>
      <w:bookmarkEnd w:id="239"/>
      <w:bookmarkEnd w:id="240"/>
    </w:p>
    <w:p w:rsidR="00913351" w:rsidRPr="006A6CE3" w:rsidRDefault="00913351" w:rsidP="00E204D9">
      <w:pPr>
        <w:rPr>
          <w:rFonts w:cs="Arial"/>
        </w:rPr>
      </w:pPr>
      <w:r w:rsidRPr="006A6CE3">
        <w:rPr>
          <w:rFonts w:cs="Arial"/>
        </w:rPr>
        <w:t xml:space="preserve">Emissions to the environment have a range of impacts and the effects are varied: emissions to air have negative impacts on human health and the natural environment; some chemicals bind to soil and act as long term </w:t>
      </w:r>
      <w:r w:rsidRPr="006A6CE3">
        <w:rPr>
          <w:rFonts w:cs="Arial"/>
        </w:rPr>
        <w:lastRenderedPageBreak/>
        <w:t xml:space="preserve">contaminants, whilst others will leach into local water sources and contaminate water supplies;  acids can concentrate in soil (and bodies of water) and can have highly detrimental effects on the local flora and fauna;  Volatile Organic Compounds (VOCs) can cause significant pollution and disruption to aquatic habitats.  Significant discharges of organic waste (nutrients) into bodies of water can cause damage to life in rivers, lakes, estuaries, coastal and marine waters.  While nutrients have an indirect effect on oxygen levels, oxygen-demanding pollutants have a direct effect.  </w:t>
      </w:r>
    </w:p>
    <w:p w:rsidR="00913351" w:rsidRPr="006A6CE3" w:rsidRDefault="00913351" w:rsidP="00E204D9">
      <w:pPr>
        <w:spacing w:before="0"/>
        <w:rPr>
          <w:rFonts w:cs="Arial"/>
        </w:rPr>
      </w:pPr>
      <w:r w:rsidRPr="006A6CE3">
        <w:rPr>
          <w:rFonts w:cs="Arial"/>
        </w:rPr>
        <w:t xml:space="preserve">You should be aware of your organisation’s products, operations and processes and know whether any of these lead to any emissions, where these occur and whether it is during production, during the lifetime of the product or at the end of the product’s use. </w:t>
      </w:r>
    </w:p>
    <w:p w:rsidR="00913351" w:rsidRPr="006A6CE3" w:rsidRDefault="00913351" w:rsidP="00E204D9">
      <w:pPr>
        <w:spacing w:before="0"/>
        <w:rPr>
          <w:rFonts w:cs="Arial"/>
        </w:rPr>
      </w:pPr>
      <w:r w:rsidRPr="006A6CE3">
        <w:rPr>
          <w:rFonts w:cs="Arial"/>
        </w:rPr>
        <w:t xml:space="preserve">The risks outlined in </w:t>
      </w:r>
      <w:hyperlink w:anchor="Chapter_4" w:history="1">
        <w:r w:rsidR="00D82495" w:rsidRPr="001B46F9">
          <w:rPr>
            <w:rStyle w:val="Hyperlink"/>
            <w:rFonts w:cs="Arial"/>
          </w:rPr>
          <w:t>C</w:t>
        </w:r>
        <w:r w:rsidRPr="001B46F9">
          <w:rPr>
            <w:rStyle w:val="Hyperlink"/>
            <w:rFonts w:cs="Arial"/>
          </w:rPr>
          <w:t>hapter 4</w:t>
        </w:r>
      </w:hyperlink>
      <w:r w:rsidRPr="001B46F9">
        <w:rPr>
          <w:rFonts w:cs="Arial"/>
        </w:rPr>
        <w:t xml:space="preserve"> </w:t>
      </w:r>
      <w:r w:rsidRPr="006A6CE3">
        <w:rPr>
          <w:rFonts w:cs="Arial"/>
        </w:rPr>
        <w:t>on water are also relevant here, with the potential for reputational, regulatory and litigation risks where you do not monitor and manage your emissions. There are also potential costs associated with accidents and spillages for clean</w:t>
      </w:r>
      <w:r w:rsidR="009C72E8">
        <w:rPr>
          <w:rFonts w:cs="Arial"/>
        </w:rPr>
        <w:t>-</w:t>
      </w:r>
      <w:r w:rsidRPr="006A6CE3">
        <w:rPr>
          <w:rFonts w:cs="Arial"/>
        </w:rPr>
        <w:t xml:space="preserve">up and restoration. Conversely there are potential reputational benefits and market opportunities when your organisation is seen as leading the field in managing its emissions. </w:t>
      </w:r>
    </w:p>
    <w:p w:rsidR="00913351" w:rsidRPr="006A6CE3" w:rsidRDefault="00913351" w:rsidP="00E204D9">
      <w:pPr>
        <w:spacing w:before="0"/>
        <w:rPr>
          <w:rFonts w:cs="Arial"/>
        </w:rPr>
      </w:pPr>
      <w:r w:rsidRPr="006A6CE3">
        <w:rPr>
          <w:rFonts w:cs="Arial"/>
        </w:rPr>
        <w:t xml:space="preserve">Emissions can also occur through, or been seen as, wastage through poor design, inefficient operations or business practices. You should review </w:t>
      </w:r>
      <w:hyperlink w:anchor="Chapter_6" w:history="1">
        <w:r w:rsidR="00D82495" w:rsidRPr="007D7B97">
          <w:rPr>
            <w:rStyle w:val="Hyperlink"/>
            <w:rFonts w:cs="Arial"/>
          </w:rPr>
          <w:t>C</w:t>
        </w:r>
        <w:r w:rsidRPr="007D7B97">
          <w:rPr>
            <w:rStyle w:val="Hyperlink"/>
            <w:rFonts w:cs="Arial"/>
          </w:rPr>
          <w:t>hapter 6</w:t>
        </w:r>
      </w:hyperlink>
      <w:r w:rsidRPr="006A6CE3">
        <w:rPr>
          <w:rFonts w:cs="Arial"/>
        </w:rPr>
        <w:t xml:space="preserve"> on materials and resource efficiency and </w:t>
      </w:r>
      <w:hyperlink w:anchor="Chapter_5_Waste" w:history="1">
        <w:r w:rsidR="0058556A" w:rsidRPr="0058556A">
          <w:rPr>
            <w:rStyle w:val="Hyperlink"/>
            <w:rFonts w:cs="Arial"/>
          </w:rPr>
          <w:t>C</w:t>
        </w:r>
        <w:r w:rsidRPr="0058556A">
          <w:rPr>
            <w:rStyle w:val="Hyperlink"/>
            <w:rFonts w:cs="Arial"/>
          </w:rPr>
          <w:t>hapter 5</w:t>
        </w:r>
      </w:hyperlink>
      <w:r w:rsidRPr="006A6CE3">
        <w:rPr>
          <w:rFonts w:cs="Arial"/>
        </w:rPr>
        <w:t xml:space="preserve"> on waste when considering what to report.</w:t>
      </w:r>
    </w:p>
    <w:p w:rsidR="00913351" w:rsidRPr="006A6CE3" w:rsidRDefault="00913351" w:rsidP="00E204D9">
      <w:pPr>
        <w:pStyle w:val="Heading2"/>
        <w:rPr>
          <w:rFonts w:cs="Arial"/>
        </w:rPr>
      </w:pPr>
      <w:bookmarkStart w:id="241" w:name="_Toc358054497"/>
      <w:bookmarkStart w:id="242" w:name="_Toc358054583"/>
      <w:bookmarkStart w:id="243" w:name="_Toc358060223"/>
      <w:bookmarkStart w:id="244" w:name="_Toc358302296"/>
      <w:bookmarkStart w:id="245" w:name="_Toc380763581"/>
      <w:r w:rsidRPr="006A6CE3">
        <w:rPr>
          <w:rFonts w:cs="Arial"/>
        </w:rPr>
        <w:t>What to measure and report</w:t>
      </w:r>
      <w:bookmarkEnd w:id="241"/>
      <w:bookmarkEnd w:id="242"/>
      <w:bookmarkEnd w:id="243"/>
      <w:bookmarkEnd w:id="244"/>
      <w:bookmarkEnd w:id="245"/>
      <w:r w:rsidRPr="006A6CE3">
        <w:rPr>
          <w:rFonts w:cs="Arial"/>
        </w:rPr>
        <w:t xml:space="preserve"> </w:t>
      </w:r>
    </w:p>
    <w:p w:rsidR="00913351" w:rsidRPr="006A6CE3" w:rsidRDefault="00913351" w:rsidP="00E204D9">
      <w:pPr>
        <w:rPr>
          <w:rFonts w:cs="Arial"/>
        </w:rPr>
      </w:pPr>
      <w:r w:rsidRPr="006A6CE3">
        <w:rPr>
          <w:rFonts w:cs="Arial"/>
        </w:rPr>
        <w:t xml:space="preserve">The first step is to consider your organisation, your products and your supply chain and where there might be emissions. Whilst we are not suggesting you should report on the emissions of your supply chain it is important to recognise that emissions do occur as a result of your organisation’s activities, for example, air emissions affecting air quality through transportation of goods. If you understand where emissions do occur in your supply chain you can consider what you can do to minimise them. Putting in place an environmental management system such as those listed </w:t>
      </w:r>
      <w:hyperlink w:anchor="Chapter_4_1_Environmental_Management_Sys" w:history="1">
        <w:r w:rsidR="00901989">
          <w:rPr>
            <w:rStyle w:val="Hyperlink"/>
            <w:rFonts w:cs="Arial"/>
          </w:rPr>
          <w:t>on page 9</w:t>
        </w:r>
      </w:hyperlink>
      <w:r w:rsidR="001B46F9">
        <w:rPr>
          <w:rFonts w:cs="Arial"/>
        </w:rPr>
        <w:t xml:space="preserve"> </w:t>
      </w:r>
      <w:r w:rsidRPr="006A6CE3">
        <w:rPr>
          <w:rFonts w:cs="Arial"/>
        </w:rPr>
        <w:t>can help you do this.</w:t>
      </w:r>
    </w:p>
    <w:p w:rsidR="00913351" w:rsidRPr="006A6CE3" w:rsidRDefault="00913351" w:rsidP="00E204D9">
      <w:pPr>
        <w:rPr>
          <w:rFonts w:cs="Arial"/>
        </w:rPr>
      </w:pPr>
      <w:r w:rsidRPr="006A6CE3">
        <w:rPr>
          <w:rFonts w:cs="Arial"/>
        </w:rPr>
        <w:t xml:space="preserve">If your organisation produces large amounts of emissions you are likely to be </w:t>
      </w:r>
      <w:proofErr w:type="gramStart"/>
      <w:r w:rsidRPr="006A6CE3">
        <w:rPr>
          <w:rFonts w:cs="Arial"/>
        </w:rPr>
        <w:t>a regulated businesses</w:t>
      </w:r>
      <w:proofErr w:type="gramEnd"/>
      <w:r w:rsidRPr="006A6CE3">
        <w:rPr>
          <w:rFonts w:cs="Arial"/>
        </w:rPr>
        <w:t xml:space="preserve"> covered by legislative controls. The information you are required to record for compliance to this legislation, i.e. your permitting and discharge consents, can be used for corporate reporting.</w:t>
      </w:r>
    </w:p>
    <w:p w:rsidR="00913351" w:rsidRPr="006A6CE3" w:rsidRDefault="00913351" w:rsidP="00E204D9">
      <w:pPr>
        <w:rPr>
          <w:rFonts w:cs="Arial"/>
          <w:color w:val="000000"/>
        </w:rPr>
      </w:pPr>
      <w:r w:rsidRPr="006A6CE3">
        <w:rPr>
          <w:rFonts w:cs="Arial"/>
        </w:rPr>
        <w:lastRenderedPageBreak/>
        <w:t xml:space="preserve">The Environmental Permitting (England and Wales) Regulations 2010 </w:t>
      </w:r>
      <w:r w:rsidRPr="006A6CE3">
        <w:rPr>
          <w:rStyle w:val="FootnoteReference"/>
          <w:rFonts w:cs="Arial"/>
          <w:szCs w:val="24"/>
        </w:rPr>
        <w:footnoteReference w:id="66"/>
      </w:r>
      <w:r w:rsidRPr="006A6CE3">
        <w:rPr>
          <w:rFonts w:cs="Arial"/>
        </w:rPr>
        <w:t xml:space="preserve">  bring most emissions permitting </w:t>
      </w:r>
      <w:proofErr w:type="gramStart"/>
      <w:r w:rsidRPr="006A6CE3">
        <w:rPr>
          <w:rFonts w:cs="Arial"/>
        </w:rPr>
        <w:t>under</w:t>
      </w:r>
      <w:proofErr w:type="gramEnd"/>
      <w:r w:rsidRPr="006A6CE3">
        <w:rPr>
          <w:rFonts w:cs="Arial"/>
        </w:rPr>
        <w:t xml:space="preserve"> one environmental permitting process; separate arrangements are applicable in Scotland and Northern Ireland.  Operators of some activities must also ensure they meet </w:t>
      </w:r>
      <w:r w:rsidRPr="006A6CE3">
        <w:rPr>
          <w:rFonts w:cs="Arial"/>
          <w:shd w:val="clear" w:color="auto" w:fill="FFFFFF"/>
        </w:rPr>
        <w:t>the</w:t>
      </w:r>
      <w:r w:rsidRPr="006A6CE3">
        <w:rPr>
          <w:rFonts w:cs="Arial"/>
          <w:b/>
          <w:shd w:val="clear" w:color="auto" w:fill="FFFFFF"/>
        </w:rPr>
        <w:t xml:space="preserve"> </w:t>
      </w:r>
      <w:hyperlink r:id="rId68" w:history="1">
        <w:r w:rsidRPr="006A6CE3">
          <w:rPr>
            <w:rStyle w:val="Hyperlink"/>
            <w:rFonts w:cs="Arial"/>
            <w:szCs w:val="24"/>
            <w:shd w:val="clear" w:color="auto" w:fill="FFFFFF"/>
          </w:rPr>
          <w:t>European Pollutant</w:t>
        </w:r>
        <w:r w:rsidR="00C53604">
          <w:rPr>
            <w:rStyle w:val="Hyperlink"/>
            <w:rFonts w:cs="Arial"/>
            <w:szCs w:val="24"/>
            <w:shd w:val="clear" w:color="auto" w:fill="FFFFFF"/>
          </w:rPr>
          <w:t xml:space="preserve"> Release</w:t>
        </w:r>
        <w:r w:rsidRPr="006A6CE3">
          <w:rPr>
            <w:rStyle w:val="Hyperlink"/>
            <w:rFonts w:cs="Arial"/>
            <w:szCs w:val="24"/>
            <w:shd w:val="clear" w:color="auto" w:fill="FFFFFF"/>
          </w:rPr>
          <w:t xml:space="preserve"> and Transfer Register</w:t>
        </w:r>
      </w:hyperlink>
      <w:r w:rsidRPr="006A6CE3">
        <w:rPr>
          <w:rStyle w:val="Strong"/>
          <w:rFonts w:cs="Arial"/>
          <w:bCs w:val="0"/>
          <w:shd w:val="clear" w:color="auto" w:fill="FFFFFF"/>
        </w:rPr>
        <w:t xml:space="preserve"> </w:t>
      </w:r>
      <w:r w:rsidRPr="006A6CE3">
        <w:rPr>
          <w:rStyle w:val="Strong"/>
          <w:rFonts w:cs="Arial"/>
          <w:b w:val="0"/>
          <w:bCs w:val="0"/>
          <w:shd w:val="clear" w:color="auto" w:fill="FFFFFF"/>
        </w:rPr>
        <w:t>(E-PRTR) Regulation</w:t>
      </w:r>
      <w:r w:rsidRPr="006A6CE3">
        <w:rPr>
          <w:rStyle w:val="FootnoteReference"/>
          <w:rFonts w:cs="Arial"/>
          <w:shd w:val="clear" w:color="auto" w:fill="FFFFFF"/>
        </w:rPr>
        <w:footnoteReference w:id="67"/>
      </w:r>
      <w:r w:rsidRPr="006A6CE3">
        <w:rPr>
          <w:rStyle w:val="Strong"/>
          <w:rFonts w:cs="Arial"/>
          <w:b w:val="0"/>
          <w:bCs w:val="0"/>
          <w:shd w:val="clear" w:color="auto" w:fill="FFFFFF"/>
        </w:rPr>
        <w:t xml:space="preserve"> requirements which requires those</w:t>
      </w:r>
      <w:r w:rsidRPr="006A6CE3">
        <w:rPr>
          <w:rStyle w:val="Strong"/>
          <w:rFonts w:cs="Arial"/>
          <w:b w:val="0"/>
          <w:bCs w:val="0"/>
        </w:rPr>
        <w:t xml:space="preserve"> </w:t>
      </w:r>
      <w:r w:rsidR="00C05F92" w:rsidRPr="006A6CE3">
        <w:rPr>
          <w:rStyle w:val="Strong"/>
          <w:rFonts w:cs="Arial"/>
          <w:b w:val="0"/>
          <w:bCs w:val="0"/>
        </w:rPr>
        <w:t>operators to</w:t>
      </w:r>
      <w:r w:rsidRPr="006A6CE3">
        <w:rPr>
          <w:rFonts w:cs="Arial"/>
          <w:color w:val="000000"/>
          <w:sz w:val="19"/>
          <w:szCs w:val="19"/>
        </w:rPr>
        <w:t xml:space="preserve"> </w:t>
      </w:r>
      <w:r w:rsidRPr="006A6CE3">
        <w:rPr>
          <w:rFonts w:cs="Arial"/>
          <w:color w:val="000000"/>
        </w:rPr>
        <w:t xml:space="preserve">quantify and report the amounts of substances released to each environmental medium (air, water, soil) or transferred off-site for waste management or wastewater treatment. Your reporting of emissions also links directly to your materials use </w:t>
      </w:r>
      <w:r w:rsidRPr="0058556A">
        <w:rPr>
          <w:rFonts w:cs="Arial"/>
          <w:color w:val="000000"/>
        </w:rPr>
        <w:t>(</w:t>
      </w:r>
      <w:hyperlink w:anchor="Chapter_6" w:history="1">
        <w:r w:rsidR="00D82495" w:rsidRPr="0058556A">
          <w:rPr>
            <w:rStyle w:val="Hyperlink"/>
            <w:rFonts w:cs="Arial"/>
          </w:rPr>
          <w:t>C</w:t>
        </w:r>
        <w:r w:rsidRPr="0058556A">
          <w:rPr>
            <w:rStyle w:val="Hyperlink"/>
            <w:rFonts w:cs="Arial"/>
          </w:rPr>
          <w:t>hapter 6</w:t>
        </w:r>
      </w:hyperlink>
      <w:r w:rsidRPr="0058556A">
        <w:rPr>
          <w:rFonts w:cs="Arial"/>
          <w:color w:val="000000"/>
        </w:rPr>
        <w:t>).</w:t>
      </w:r>
      <w:r w:rsidRPr="006A6CE3">
        <w:rPr>
          <w:rFonts w:cs="Arial"/>
          <w:color w:val="000000"/>
        </w:rPr>
        <w:t xml:space="preserve"> Some permit holders are required to report on resource efficiency measures using the Resource Efficiency Physical Index (REPI) metrics</w:t>
      </w:r>
      <w:r w:rsidRPr="006A6CE3">
        <w:rPr>
          <w:rStyle w:val="FootnoteReference"/>
          <w:rFonts w:cs="Arial"/>
          <w:color w:val="000000"/>
          <w:szCs w:val="24"/>
        </w:rPr>
        <w:footnoteReference w:id="68"/>
      </w:r>
      <w:r w:rsidRPr="006A6CE3">
        <w:rPr>
          <w:rFonts w:cs="Arial"/>
          <w:color w:val="000000"/>
        </w:rPr>
        <w:t xml:space="preserve"> and this data can be used for reporting against resource efficiency in that chapter.</w:t>
      </w:r>
    </w:p>
    <w:p w:rsidR="00913351" w:rsidRPr="006A6CE3" w:rsidRDefault="00913351" w:rsidP="00E204D9">
      <w:pPr>
        <w:rPr>
          <w:rFonts w:cs="Arial"/>
        </w:rPr>
      </w:pPr>
      <w:r w:rsidRPr="006A6CE3">
        <w:rPr>
          <w:rFonts w:cs="Arial"/>
        </w:rPr>
        <w:t xml:space="preserve">The Offshore Chemical Notification Scheme </w:t>
      </w:r>
      <w:hyperlink r:id="rId69" w:history="1">
        <w:r w:rsidRPr="006A6CE3">
          <w:rPr>
            <w:rStyle w:val="Hyperlink"/>
            <w:rFonts w:cs="Arial"/>
          </w:rPr>
          <w:t>(OCNS)</w:t>
        </w:r>
      </w:hyperlink>
      <w:r w:rsidRPr="006A6CE3">
        <w:rPr>
          <w:rStyle w:val="FootnoteReference"/>
          <w:rFonts w:cs="Arial"/>
        </w:rPr>
        <w:footnoteReference w:id="69"/>
      </w:r>
      <w:r w:rsidRPr="006A6CE3">
        <w:rPr>
          <w:rFonts w:cs="Arial"/>
        </w:rPr>
        <w:t xml:space="preserve"> manages chemical use and discharge by the UK offshore petroleum industries. The scheme is regulated in the UK by the Department of Energy and Climate Change. If you operate in this </w:t>
      </w:r>
      <w:r w:rsidR="00C05F92" w:rsidRPr="006A6CE3">
        <w:rPr>
          <w:rFonts w:cs="Arial"/>
        </w:rPr>
        <w:t>sector you</w:t>
      </w:r>
      <w:r w:rsidRPr="006A6CE3">
        <w:rPr>
          <w:rFonts w:cs="Arial"/>
        </w:rPr>
        <w:t xml:space="preserve"> may wish to use your OCNS data/returns in your corporate reporting.</w:t>
      </w:r>
    </w:p>
    <w:p w:rsidR="00913351" w:rsidRPr="006A6CE3" w:rsidRDefault="00913351" w:rsidP="00E204D9">
      <w:pPr>
        <w:rPr>
          <w:rFonts w:cs="Arial"/>
          <w:b/>
        </w:rPr>
      </w:pPr>
      <w:r w:rsidRPr="006A6CE3">
        <w:rPr>
          <w:rFonts w:cs="Arial"/>
        </w:rPr>
        <w:t>If your activities are subject to environmental permitting as outlined above, you should</w:t>
      </w:r>
      <w:r w:rsidRPr="006A6CE3">
        <w:rPr>
          <w:rFonts w:cs="Arial"/>
          <w:b/>
        </w:rPr>
        <w:t xml:space="preserve">: </w:t>
      </w:r>
    </w:p>
    <w:p w:rsidR="00913351" w:rsidRPr="006A6CE3" w:rsidRDefault="00913351" w:rsidP="0086258B">
      <w:pPr>
        <w:numPr>
          <w:ilvl w:val="0"/>
          <w:numId w:val="19"/>
        </w:numPr>
        <w:spacing w:before="120" w:after="240"/>
        <w:rPr>
          <w:rFonts w:cs="Arial"/>
        </w:rPr>
      </w:pPr>
      <w:proofErr w:type="gramStart"/>
      <w:r w:rsidRPr="006A6CE3">
        <w:rPr>
          <w:rFonts w:cs="Arial"/>
        </w:rPr>
        <w:t>report</w:t>
      </w:r>
      <w:proofErr w:type="gramEnd"/>
      <w:r w:rsidRPr="006A6CE3">
        <w:rPr>
          <w:rFonts w:cs="Arial"/>
        </w:rPr>
        <w:t xml:space="preserve"> against environmental permits and discharge consents. The data you provide for this can be used to give summary data on your levels of emissions and used for the purposes of corporate reporting.  </w:t>
      </w:r>
    </w:p>
    <w:p w:rsidR="00913351" w:rsidRPr="006A6CE3" w:rsidRDefault="00913351" w:rsidP="00E204D9">
      <w:pPr>
        <w:pStyle w:val="Heading3"/>
        <w:rPr>
          <w:rFonts w:cs="Arial"/>
          <w:color w:val="76923C"/>
        </w:rPr>
      </w:pPr>
      <w:bookmarkStart w:id="246" w:name="_Toc358054584"/>
      <w:bookmarkStart w:id="247" w:name="_Toc358060224"/>
      <w:bookmarkStart w:id="248" w:name="_Toc358302297"/>
      <w:r w:rsidRPr="006A6CE3">
        <w:rPr>
          <w:rFonts w:cs="Arial"/>
          <w:color w:val="76923C"/>
        </w:rPr>
        <w:t>Transport, Logistics, Vehicle use</w:t>
      </w:r>
      <w:bookmarkEnd w:id="246"/>
      <w:bookmarkEnd w:id="247"/>
      <w:bookmarkEnd w:id="248"/>
    </w:p>
    <w:p w:rsidR="00913351" w:rsidRPr="006A6CE3" w:rsidRDefault="00913351" w:rsidP="00E204D9">
      <w:pPr>
        <w:rPr>
          <w:rFonts w:cs="Arial"/>
        </w:rPr>
      </w:pPr>
      <w:r w:rsidRPr="006A6CE3">
        <w:rPr>
          <w:rFonts w:cs="Arial"/>
        </w:rPr>
        <w:t>Euro standards seek to reduce pollutant emissions released into the air from vehicles. Since 1991, the standards have progressively tightened as the European Commission has demanded emissions limits to curb the release of air pollutants such as oxides of nitrogen, particulate matter and hydrocarbons. The renewal of vehicle fleets to higher Euro standards can help to reduce air pollution alongside other operational measures such as driver training, route management and reduced empty running which lowers fuel usage and ultimately carbon.  You should:</w:t>
      </w:r>
    </w:p>
    <w:p w:rsidR="00913351" w:rsidRPr="006A6CE3" w:rsidRDefault="00913351" w:rsidP="0086258B">
      <w:pPr>
        <w:numPr>
          <w:ilvl w:val="0"/>
          <w:numId w:val="19"/>
        </w:numPr>
        <w:spacing w:before="120" w:after="240"/>
        <w:rPr>
          <w:rFonts w:cs="Arial"/>
        </w:rPr>
      </w:pPr>
      <w:proofErr w:type="gramStart"/>
      <w:r w:rsidRPr="006A6CE3">
        <w:rPr>
          <w:rFonts w:cs="Arial"/>
        </w:rPr>
        <w:lastRenderedPageBreak/>
        <w:t>review</w:t>
      </w:r>
      <w:proofErr w:type="gramEnd"/>
      <w:r w:rsidRPr="006A6CE3">
        <w:rPr>
          <w:rFonts w:cs="Arial"/>
        </w:rPr>
        <w:t xml:space="preserve"> your logistics and any freight or transport operations that your organisation may have. </w:t>
      </w:r>
    </w:p>
    <w:p w:rsidR="00913351" w:rsidRPr="006A6CE3" w:rsidRDefault="00913351" w:rsidP="0086258B">
      <w:pPr>
        <w:numPr>
          <w:ilvl w:val="0"/>
          <w:numId w:val="19"/>
        </w:numPr>
        <w:spacing w:before="120" w:after="240"/>
        <w:rPr>
          <w:rFonts w:cs="Arial"/>
        </w:rPr>
      </w:pPr>
      <w:r w:rsidRPr="006A6CE3">
        <w:rPr>
          <w:rFonts w:cs="Arial"/>
        </w:rPr>
        <w:t>If you have or use a vehicle fleet you should report how this fleet measures against the Euro standards.</w:t>
      </w:r>
    </w:p>
    <w:p w:rsidR="00913351" w:rsidRPr="006A6CE3" w:rsidRDefault="00913351" w:rsidP="00E204D9">
      <w:pPr>
        <w:rPr>
          <w:rFonts w:cs="Arial"/>
        </w:rPr>
      </w:pPr>
      <w:r w:rsidRPr="006A6CE3">
        <w:rPr>
          <w:rFonts w:cs="Arial"/>
        </w:rPr>
        <w:t>The Freight Transport Association</w:t>
      </w:r>
      <w:r w:rsidRPr="006A6CE3">
        <w:rPr>
          <w:rStyle w:val="FootnoteReference"/>
          <w:rFonts w:cs="Arial"/>
        </w:rPr>
        <w:footnoteReference w:id="70"/>
      </w:r>
      <w:r w:rsidRPr="006A6CE3">
        <w:rPr>
          <w:rFonts w:cs="Arial"/>
        </w:rPr>
        <w:t xml:space="preserve"> has on its website advice and guidance on the Euro standards. </w:t>
      </w:r>
    </w:p>
    <w:p w:rsidR="00913351" w:rsidRPr="006A6CE3" w:rsidRDefault="00913351" w:rsidP="00C05F92">
      <w:pPr>
        <w:rPr>
          <w:rFonts w:cs="Arial"/>
        </w:rPr>
      </w:pPr>
      <w:r w:rsidRPr="006A6CE3">
        <w:rPr>
          <w:rFonts w:cs="Arial"/>
        </w:rPr>
        <w:t>Your reporting will be strengthened if you report against:</w:t>
      </w:r>
    </w:p>
    <w:p w:rsidR="00913351" w:rsidRPr="006A6CE3" w:rsidRDefault="00913351" w:rsidP="0086258B">
      <w:pPr>
        <w:numPr>
          <w:ilvl w:val="0"/>
          <w:numId w:val="57"/>
        </w:numPr>
        <w:rPr>
          <w:rFonts w:cs="Arial"/>
        </w:rPr>
      </w:pPr>
      <w:r w:rsidRPr="006A6CE3">
        <w:rPr>
          <w:rFonts w:cs="Arial"/>
        </w:rPr>
        <w:t xml:space="preserve">the metrics of your permits or discharge consents set against a base year /targets </w:t>
      </w:r>
    </w:p>
    <w:p w:rsidR="00913351" w:rsidRPr="006A6CE3" w:rsidRDefault="00913351" w:rsidP="0086258B">
      <w:pPr>
        <w:numPr>
          <w:ilvl w:val="0"/>
          <w:numId w:val="57"/>
        </w:numPr>
        <w:rPr>
          <w:rFonts w:cs="Arial"/>
        </w:rPr>
      </w:pPr>
      <w:r w:rsidRPr="006A6CE3">
        <w:rPr>
          <w:rFonts w:cs="Arial"/>
        </w:rPr>
        <w:t xml:space="preserve">abatement technologies in place, </w:t>
      </w:r>
    </w:p>
    <w:p w:rsidR="00913351" w:rsidRPr="006A6CE3" w:rsidRDefault="00913351" w:rsidP="0086258B">
      <w:pPr>
        <w:numPr>
          <w:ilvl w:val="0"/>
          <w:numId w:val="57"/>
        </w:numPr>
        <w:rPr>
          <w:rFonts w:cs="Arial"/>
        </w:rPr>
      </w:pPr>
      <w:r w:rsidRPr="006A6CE3">
        <w:rPr>
          <w:rFonts w:cs="Arial"/>
        </w:rPr>
        <w:t xml:space="preserve">plans for substitution where feasible or to move to safer alternatives </w:t>
      </w:r>
    </w:p>
    <w:p w:rsidR="00913351" w:rsidRPr="006A6CE3" w:rsidRDefault="00913351" w:rsidP="0086258B">
      <w:pPr>
        <w:numPr>
          <w:ilvl w:val="0"/>
          <w:numId w:val="57"/>
        </w:numPr>
        <w:rPr>
          <w:rFonts w:cs="Arial"/>
          <w:b/>
        </w:rPr>
      </w:pPr>
      <w:proofErr w:type="gramStart"/>
      <w:r w:rsidRPr="006A6CE3">
        <w:rPr>
          <w:rFonts w:cs="Arial"/>
        </w:rPr>
        <w:t>investments</w:t>
      </w:r>
      <w:proofErr w:type="gramEnd"/>
      <w:r w:rsidRPr="006A6CE3">
        <w:rPr>
          <w:rFonts w:cs="Arial"/>
        </w:rPr>
        <w:t xml:space="preserve"> made to clean up your processes. This also links to </w:t>
      </w:r>
      <w:hyperlink w:anchor="Chapter_6" w:history="1">
        <w:r w:rsidR="00D82495">
          <w:rPr>
            <w:rStyle w:val="Hyperlink"/>
            <w:rFonts w:cs="Arial"/>
          </w:rPr>
          <w:t>C</w:t>
        </w:r>
        <w:r w:rsidRPr="00C118AE">
          <w:rPr>
            <w:rStyle w:val="Hyperlink"/>
            <w:rFonts w:cs="Arial"/>
          </w:rPr>
          <w:t>hapter 6</w:t>
        </w:r>
      </w:hyperlink>
      <w:r w:rsidRPr="00C118AE">
        <w:rPr>
          <w:rFonts w:cs="Arial"/>
        </w:rPr>
        <w:t xml:space="preserve"> </w:t>
      </w:r>
      <w:r w:rsidR="00D82495">
        <w:rPr>
          <w:rFonts w:cs="Arial"/>
        </w:rPr>
        <w:t xml:space="preserve">on </w:t>
      </w:r>
      <w:r w:rsidRPr="00C118AE">
        <w:rPr>
          <w:rFonts w:cs="Arial"/>
        </w:rPr>
        <w:t>resource</w:t>
      </w:r>
      <w:r w:rsidRPr="006A6CE3">
        <w:rPr>
          <w:rFonts w:cs="Arial"/>
        </w:rPr>
        <w:t xml:space="preserve"> efficiency and materials</w:t>
      </w:r>
      <w:r w:rsidRPr="006A6CE3">
        <w:rPr>
          <w:rFonts w:cs="Arial"/>
          <w:b/>
        </w:rPr>
        <w:t>.</w:t>
      </w:r>
    </w:p>
    <w:p w:rsidR="00913351" w:rsidRPr="006A6CE3" w:rsidRDefault="00913351" w:rsidP="00E204D9">
      <w:pPr>
        <w:pStyle w:val="NoSpacing"/>
        <w:ind w:left="720"/>
        <w:rPr>
          <w:rFonts w:ascii="Arial" w:hAnsi="Arial" w:cs="Arial"/>
          <w:b/>
        </w:rPr>
      </w:pPr>
    </w:p>
    <w:p w:rsidR="00913351" w:rsidRPr="006A6CE3" w:rsidRDefault="00913351" w:rsidP="00E204D9">
      <w:pPr>
        <w:pStyle w:val="Heading3"/>
        <w:rPr>
          <w:rFonts w:cs="Arial"/>
          <w:color w:val="76923C"/>
        </w:rPr>
      </w:pPr>
      <w:bookmarkStart w:id="249" w:name="_Toc358054585"/>
      <w:bookmarkStart w:id="250" w:name="_Toc358060225"/>
      <w:bookmarkStart w:id="251" w:name="_Toc358302298"/>
      <w:r w:rsidRPr="006A6CE3">
        <w:rPr>
          <w:rFonts w:cs="Arial"/>
          <w:color w:val="76923C"/>
        </w:rPr>
        <w:t>Accidents and spillages</w:t>
      </w:r>
      <w:bookmarkEnd w:id="249"/>
      <w:bookmarkEnd w:id="250"/>
      <w:bookmarkEnd w:id="251"/>
    </w:p>
    <w:p w:rsidR="00913351" w:rsidRPr="006A6CE3" w:rsidRDefault="00913351" w:rsidP="00E204D9">
      <w:pPr>
        <w:rPr>
          <w:rFonts w:cs="Arial"/>
        </w:rPr>
      </w:pPr>
      <w:r w:rsidRPr="006A6CE3">
        <w:rPr>
          <w:rFonts w:cs="Arial"/>
        </w:rPr>
        <w:t xml:space="preserve">If there are any breaches of the permits set for your organization or accidental emissions or spills, you should record and report: </w:t>
      </w:r>
    </w:p>
    <w:p w:rsidR="00913351" w:rsidRPr="006A6CE3" w:rsidRDefault="00913351" w:rsidP="0086258B">
      <w:pPr>
        <w:numPr>
          <w:ilvl w:val="0"/>
          <w:numId w:val="58"/>
        </w:numPr>
        <w:rPr>
          <w:rFonts w:cs="Arial"/>
        </w:rPr>
      </w:pPr>
      <w:r w:rsidRPr="006A6CE3">
        <w:rPr>
          <w:rFonts w:cs="Arial"/>
        </w:rPr>
        <w:t>the type of emission</w:t>
      </w:r>
    </w:p>
    <w:p w:rsidR="00913351" w:rsidRPr="006A6CE3" w:rsidRDefault="00913351" w:rsidP="0086258B">
      <w:pPr>
        <w:numPr>
          <w:ilvl w:val="0"/>
          <w:numId w:val="58"/>
        </w:numPr>
        <w:rPr>
          <w:rFonts w:cs="Arial"/>
        </w:rPr>
      </w:pPr>
      <w:r w:rsidRPr="006A6CE3">
        <w:rPr>
          <w:rFonts w:cs="Arial"/>
        </w:rPr>
        <w:t xml:space="preserve">the substance and amount (weight or volume) emitted </w:t>
      </w:r>
    </w:p>
    <w:p w:rsidR="00913351" w:rsidRPr="006A6CE3" w:rsidRDefault="00913351" w:rsidP="0086258B">
      <w:pPr>
        <w:numPr>
          <w:ilvl w:val="0"/>
          <w:numId w:val="58"/>
        </w:numPr>
        <w:rPr>
          <w:rFonts w:cs="Arial"/>
        </w:rPr>
      </w:pPr>
      <w:r w:rsidRPr="006A6CE3">
        <w:rPr>
          <w:rFonts w:cs="Arial"/>
        </w:rPr>
        <w:t xml:space="preserve">the absolute number of spills should be reported, and </w:t>
      </w:r>
    </w:p>
    <w:p w:rsidR="00913351" w:rsidRPr="006A6CE3" w:rsidRDefault="00913351" w:rsidP="0086258B">
      <w:pPr>
        <w:numPr>
          <w:ilvl w:val="0"/>
          <w:numId w:val="58"/>
        </w:numPr>
        <w:rPr>
          <w:rFonts w:cs="Arial"/>
        </w:rPr>
      </w:pPr>
      <w:proofErr w:type="gramStart"/>
      <w:r w:rsidRPr="006A6CE3">
        <w:rPr>
          <w:rFonts w:cs="Arial"/>
        </w:rPr>
        <w:t>the</w:t>
      </w:r>
      <w:proofErr w:type="gramEnd"/>
      <w:r w:rsidRPr="006A6CE3">
        <w:rPr>
          <w:rFonts w:cs="Arial"/>
        </w:rPr>
        <w:t xml:space="preserve"> volume of individual spills if they are significant.</w:t>
      </w:r>
    </w:p>
    <w:p w:rsidR="00913351" w:rsidRPr="006A6CE3" w:rsidRDefault="00913351" w:rsidP="00E204D9">
      <w:pPr>
        <w:rPr>
          <w:rFonts w:cs="Arial"/>
        </w:rPr>
      </w:pPr>
      <w:r w:rsidRPr="006A6CE3">
        <w:rPr>
          <w:rFonts w:cs="Arial"/>
        </w:rPr>
        <w:t>You should also report on any investments made to prevent future accidents/spills.</w:t>
      </w:r>
    </w:p>
    <w:p w:rsidR="00913351" w:rsidRPr="006A6CE3" w:rsidRDefault="00913351" w:rsidP="00E204D9">
      <w:pPr>
        <w:rPr>
          <w:rFonts w:cs="Arial"/>
        </w:rPr>
      </w:pPr>
      <w:r w:rsidRPr="006A6CE3">
        <w:rPr>
          <w:rFonts w:cs="Arial"/>
        </w:rPr>
        <w:t>If the treatment method for clean up after a spillage is the disposal of any land that has been contaminated then this should be reported accordin</w:t>
      </w:r>
      <w:r w:rsidR="001C17D8">
        <w:rPr>
          <w:rFonts w:cs="Arial"/>
        </w:rPr>
        <w:t xml:space="preserve">g to the criteria set out in </w:t>
      </w:r>
      <w:hyperlink w:anchor="Chapter_5_Waste" w:history="1">
        <w:r w:rsidR="001C17D8" w:rsidRPr="0058556A">
          <w:rPr>
            <w:rStyle w:val="Hyperlink"/>
            <w:rFonts w:cs="Arial"/>
          </w:rPr>
          <w:t>Chapter 5</w:t>
        </w:r>
      </w:hyperlink>
      <w:r w:rsidRPr="006A6CE3">
        <w:rPr>
          <w:rFonts w:cs="Arial"/>
        </w:rPr>
        <w:t xml:space="preserve">.  You should also consider the implication of any accident or spillage on biodiversity and report on any action undertaken. </w:t>
      </w:r>
    </w:p>
    <w:p w:rsidR="00913351" w:rsidRPr="006A6CE3" w:rsidRDefault="00913351" w:rsidP="00E204D9">
      <w:pPr>
        <w:pStyle w:val="Heading3"/>
        <w:rPr>
          <w:rFonts w:cs="Arial"/>
          <w:color w:val="76923C"/>
        </w:rPr>
      </w:pPr>
      <w:bookmarkStart w:id="252" w:name="_Toc358054586"/>
      <w:bookmarkStart w:id="253" w:name="_Toc358060226"/>
      <w:bookmarkStart w:id="254" w:name="_Toc358302299"/>
      <w:r w:rsidRPr="006A6CE3">
        <w:rPr>
          <w:rFonts w:cs="Arial"/>
          <w:color w:val="76923C"/>
        </w:rPr>
        <w:lastRenderedPageBreak/>
        <w:t>What to report if outside the scope of EPR and EPRTR</w:t>
      </w:r>
      <w:bookmarkEnd w:id="252"/>
      <w:bookmarkEnd w:id="253"/>
      <w:bookmarkEnd w:id="254"/>
    </w:p>
    <w:p w:rsidR="00913351" w:rsidRPr="006A6CE3" w:rsidRDefault="00913351" w:rsidP="00E204D9">
      <w:pPr>
        <w:rPr>
          <w:rFonts w:cs="Arial"/>
        </w:rPr>
      </w:pPr>
      <w:r w:rsidRPr="006A6CE3">
        <w:rPr>
          <w:rFonts w:cs="Arial"/>
        </w:rPr>
        <w:t>Where you have sites that are in countries that are not signatories to the Aarhus convention</w:t>
      </w:r>
      <w:r w:rsidRPr="006A6CE3">
        <w:rPr>
          <w:rStyle w:val="EndnoteReference"/>
          <w:rFonts w:cs="Arial"/>
        </w:rPr>
        <w:endnoteReference w:id="1"/>
      </w:r>
      <w:r w:rsidRPr="006A6CE3">
        <w:rPr>
          <w:rFonts w:cs="Arial"/>
        </w:rPr>
        <w:t xml:space="preserve"> and as such not required to keep a Pollution Release and Transfer Register (PRTR), you should report on whether these sites meet a standard comparable to those within the EU and generate a PRTR.   If the country where the operation is located has a comparable reporting standard you should report or include the data from that standard. If not you should endeavour to be operating all sites to best practice. </w:t>
      </w:r>
    </w:p>
    <w:p w:rsidR="00913351" w:rsidRPr="006A6CE3" w:rsidRDefault="00913351" w:rsidP="00E204D9">
      <w:pPr>
        <w:rPr>
          <w:rFonts w:cs="Arial"/>
        </w:rPr>
      </w:pPr>
      <w:r w:rsidRPr="006A6CE3">
        <w:rPr>
          <w:rFonts w:cs="Arial"/>
        </w:rPr>
        <w:t>You should review your activities to identify any potential emissions and consider whether these are of material risk to your business.   Where your emissions are material, you should record what these emissions are (substance), the amount (weight/volume) of the substance emitted (estimation methods may be used) on the basis of what you do not measure you cannot manage.</w:t>
      </w:r>
    </w:p>
    <w:p w:rsidR="00913351" w:rsidRPr="006A6CE3" w:rsidRDefault="00913351" w:rsidP="00E204D9">
      <w:pPr>
        <w:rPr>
          <w:rFonts w:cs="Arial"/>
        </w:rPr>
      </w:pPr>
      <w:r w:rsidRPr="006A6CE3">
        <w:rPr>
          <w:rFonts w:cs="Arial"/>
        </w:rPr>
        <w:t xml:space="preserve">Your reporting will be strengthened if you report on abatement technologies in place, any plans for substitution where feasible, or investments made to clean up your processes, whether this is ensuring your vehicle fleet runs on low sulphur fuel and has catalytic converters, or capture and collection methods or changes to your processes. </w:t>
      </w:r>
    </w:p>
    <w:p w:rsidR="00913351" w:rsidRPr="00EA5B43" w:rsidRDefault="00913351" w:rsidP="00EA5B43">
      <w:pPr>
        <w:pStyle w:val="Heading3"/>
        <w:rPr>
          <w:color w:val="76923C"/>
        </w:rPr>
      </w:pPr>
      <w:bookmarkStart w:id="255" w:name="_Toc358054498"/>
      <w:bookmarkStart w:id="256" w:name="_Toc358054587"/>
      <w:bookmarkStart w:id="257" w:name="_Toc358060227"/>
      <w:bookmarkStart w:id="258" w:name="_Toc358302300"/>
      <w:r w:rsidRPr="00EA5B43">
        <w:rPr>
          <w:color w:val="76923C"/>
        </w:rPr>
        <w:t>Metrics/ Normalisation factors</w:t>
      </w:r>
      <w:bookmarkEnd w:id="255"/>
      <w:bookmarkEnd w:id="256"/>
      <w:bookmarkEnd w:id="257"/>
      <w:bookmarkEnd w:id="258"/>
    </w:p>
    <w:p w:rsidR="00913351" w:rsidRPr="006A6CE3" w:rsidRDefault="00913351" w:rsidP="00E204D9">
      <w:pPr>
        <w:rPr>
          <w:rFonts w:cs="Arial"/>
          <w:b/>
          <w:szCs w:val="24"/>
        </w:rPr>
      </w:pPr>
      <w:r w:rsidRPr="006A6CE3">
        <w:rPr>
          <w:rFonts w:cs="Arial"/>
          <w:szCs w:val="24"/>
        </w:rPr>
        <w:t xml:space="preserve">You should normalise your waste data to enable comparison across product streams, locations or another metric that is useful to your organisation and/or its investors and stakeholders. </w:t>
      </w:r>
      <w:r w:rsidRPr="006A6CE3">
        <w:rPr>
          <w:rFonts w:cs="Arial"/>
          <w:snapToGrid w:val="0"/>
        </w:rPr>
        <w:t xml:space="preserve">The guidance in chapter 1 (pg11) provides you with information on intensity ratios/metrics. If you are presenting data that is normalised please give a brief explanation of the ratios/metrics you have used. </w:t>
      </w:r>
    </w:p>
    <w:p w:rsidR="00913351" w:rsidRPr="006A6CE3" w:rsidRDefault="00913351" w:rsidP="00E204D9">
      <w:pPr>
        <w:pStyle w:val="Heading3"/>
        <w:rPr>
          <w:rFonts w:cs="Arial"/>
          <w:color w:val="76923C"/>
        </w:rPr>
      </w:pPr>
      <w:bookmarkStart w:id="259" w:name="_Toc358054588"/>
      <w:bookmarkStart w:id="260" w:name="_Toc358060228"/>
      <w:bookmarkStart w:id="261" w:name="_Toc358302301"/>
      <w:r w:rsidRPr="006A6CE3">
        <w:rPr>
          <w:rFonts w:cs="Arial"/>
          <w:color w:val="76923C"/>
        </w:rPr>
        <w:t>Statutory Nuisance Control Orders</w:t>
      </w:r>
      <w:bookmarkEnd w:id="259"/>
      <w:bookmarkEnd w:id="260"/>
      <w:bookmarkEnd w:id="261"/>
    </w:p>
    <w:p w:rsidR="00913351" w:rsidRPr="006A6CE3" w:rsidRDefault="00913351" w:rsidP="00C05F92">
      <w:pPr>
        <w:rPr>
          <w:rFonts w:cs="Arial"/>
        </w:rPr>
      </w:pPr>
      <w:proofErr w:type="gramStart"/>
      <w:r w:rsidRPr="006A6CE3">
        <w:rPr>
          <w:rFonts w:cs="Arial"/>
        </w:rPr>
        <w:t>These link</w:t>
      </w:r>
      <w:proofErr w:type="gramEnd"/>
      <w:r w:rsidRPr="006A6CE3">
        <w:rPr>
          <w:rFonts w:cs="Arial"/>
        </w:rPr>
        <w:t xml:space="preserve"> to the production of excessive amount of odours, noise, lights and smoke for example and other antisocial practices. If you are subject to statutory nuisance control order, you should mention this in your corporate reporting and </w:t>
      </w:r>
      <w:r w:rsidR="00C05F92" w:rsidRPr="006A6CE3">
        <w:rPr>
          <w:rFonts w:cs="Arial"/>
        </w:rPr>
        <w:t>your efforts</w:t>
      </w:r>
      <w:r w:rsidRPr="006A6CE3">
        <w:rPr>
          <w:rFonts w:cs="Arial"/>
        </w:rPr>
        <w:t xml:space="preserve"> to contain the issue.</w:t>
      </w:r>
    </w:p>
    <w:p w:rsidR="00913351" w:rsidRPr="006A6CE3" w:rsidRDefault="00913351" w:rsidP="00E204D9">
      <w:pPr>
        <w:pStyle w:val="Heading1"/>
        <w:rPr>
          <w:rFonts w:cs="Arial"/>
        </w:rPr>
      </w:pPr>
      <w:bookmarkStart w:id="262" w:name="_Chapter_8:_"/>
      <w:bookmarkEnd w:id="262"/>
      <w:r w:rsidRPr="006A6CE3">
        <w:rPr>
          <w:rFonts w:cs="Arial"/>
        </w:rPr>
        <w:br w:type="page"/>
      </w:r>
      <w:bookmarkStart w:id="263" w:name="_Toc358054499"/>
      <w:bookmarkStart w:id="264" w:name="_Toc358054589"/>
      <w:bookmarkStart w:id="265" w:name="_Toc358060229"/>
      <w:bookmarkStart w:id="266" w:name="_Toc358302302"/>
      <w:bookmarkStart w:id="267" w:name="_Toc380763582"/>
      <w:r w:rsidRPr="006A6CE3">
        <w:rPr>
          <w:rFonts w:cs="Arial"/>
        </w:rPr>
        <w:lastRenderedPageBreak/>
        <w:t>Chapter 8:  Biodiversity and Ecosystem Services</w:t>
      </w:r>
      <w:bookmarkEnd w:id="263"/>
      <w:bookmarkEnd w:id="264"/>
      <w:bookmarkEnd w:id="265"/>
      <w:bookmarkEnd w:id="266"/>
      <w:bookmarkEnd w:id="267"/>
      <w:r w:rsidRPr="006A6CE3">
        <w:rPr>
          <w:rFonts w:cs="Arial"/>
        </w:rPr>
        <w:t xml:space="preserve"> </w:t>
      </w:r>
    </w:p>
    <w:p w:rsidR="00913351" w:rsidRPr="006A6CE3" w:rsidRDefault="00913351" w:rsidP="00C05F92">
      <w:pPr>
        <w:rPr>
          <w:rFonts w:cs="Arial"/>
        </w:rPr>
      </w:pPr>
      <w:r w:rsidRPr="006A6CE3">
        <w:rPr>
          <w:rFonts w:cs="Arial"/>
        </w:rPr>
        <w:t xml:space="preserve">This chapter covers the measurement and reporting of biodiversity and ecosystem services (BES). It: </w:t>
      </w:r>
    </w:p>
    <w:p w:rsidR="00913351" w:rsidRPr="006A6CE3" w:rsidRDefault="00913351" w:rsidP="0086258B">
      <w:pPr>
        <w:numPr>
          <w:ilvl w:val="0"/>
          <w:numId w:val="59"/>
        </w:numPr>
        <w:rPr>
          <w:rFonts w:cs="Arial"/>
        </w:rPr>
      </w:pPr>
      <w:r w:rsidRPr="006A6CE3">
        <w:rPr>
          <w:rFonts w:cs="Arial"/>
        </w:rPr>
        <w:t xml:space="preserve">Explains the concepts of BES, and how they are linked </w:t>
      </w:r>
    </w:p>
    <w:p w:rsidR="00913351" w:rsidRPr="006A6CE3" w:rsidRDefault="00913351" w:rsidP="0086258B">
      <w:pPr>
        <w:numPr>
          <w:ilvl w:val="0"/>
          <w:numId w:val="59"/>
        </w:numPr>
        <w:rPr>
          <w:rFonts w:cs="Arial"/>
        </w:rPr>
      </w:pPr>
      <w:r w:rsidRPr="006A6CE3">
        <w:rPr>
          <w:rFonts w:cs="Arial"/>
        </w:rPr>
        <w:t>Explains why BES are an important organisational consideration</w:t>
      </w:r>
    </w:p>
    <w:p w:rsidR="00913351" w:rsidRPr="006A6CE3" w:rsidRDefault="00913351" w:rsidP="0086258B">
      <w:pPr>
        <w:numPr>
          <w:ilvl w:val="0"/>
          <w:numId w:val="59"/>
        </w:numPr>
        <w:rPr>
          <w:rFonts w:cs="Arial"/>
        </w:rPr>
      </w:pPr>
      <w:r w:rsidRPr="006A6CE3">
        <w:rPr>
          <w:rFonts w:cs="Arial"/>
        </w:rPr>
        <w:t>Provides guidance on how to assess and report on BES that may impact on your organisation</w:t>
      </w:r>
    </w:p>
    <w:p w:rsidR="00913351" w:rsidRPr="006A6CE3" w:rsidRDefault="00913351" w:rsidP="0086258B">
      <w:pPr>
        <w:numPr>
          <w:ilvl w:val="0"/>
          <w:numId w:val="59"/>
        </w:numPr>
        <w:rPr>
          <w:rFonts w:cs="Arial"/>
        </w:rPr>
      </w:pPr>
      <w:r w:rsidRPr="006A6CE3">
        <w:rPr>
          <w:rFonts w:cs="Arial"/>
        </w:rPr>
        <w:t xml:space="preserve">Suggests how organizations should select and develop performance indicators for BES, to measure their dependency on them (and therefore identify risks) and to measure their direct and indirect impacts. </w:t>
      </w:r>
    </w:p>
    <w:p w:rsidR="00913351" w:rsidRPr="006A6CE3" w:rsidRDefault="00C93591" w:rsidP="00C05F92">
      <w:pPr>
        <w:rPr>
          <w:rFonts w:cs="Arial"/>
        </w:rPr>
      </w:pPr>
      <w:hyperlink w:anchor="Annex_M_Biodiversity" w:history="1">
        <w:r w:rsidR="00913351" w:rsidRPr="00C118AE">
          <w:rPr>
            <w:rStyle w:val="Hyperlink"/>
            <w:rFonts w:cs="Arial"/>
          </w:rPr>
          <w:t>Annex M</w:t>
        </w:r>
      </w:hyperlink>
      <w:r w:rsidR="00913351" w:rsidRPr="006A6CE3">
        <w:rPr>
          <w:rFonts w:cs="Arial"/>
        </w:rPr>
        <w:t xml:space="preserve"> explores in greater detail the definitions of, and background behind, BES and the reporting recommendations below.</w:t>
      </w:r>
    </w:p>
    <w:p w:rsidR="00913351" w:rsidRPr="006A6CE3" w:rsidRDefault="00913351" w:rsidP="00E204D9">
      <w:pPr>
        <w:pStyle w:val="Heading2"/>
        <w:rPr>
          <w:rFonts w:cs="Arial"/>
          <w:szCs w:val="36"/>
        </w:rPr>
      </w:pPr>
      <w:bookmarkStart w:id="268" w:name="_Toc358054500"/>
      <w:bookmarkStart w:id="269" w:name="_Toc358054590"/>
      <w:bookmarkStart w:id="270" w:name="_Toc358060230"/>
      <w:bookmarkStart w:id="271" w:name="_Toc358302303"/>
      <w:bookmarkStart w:id="272" w:name="_Toc380763583"/>
      <w:r w:rsidRPr="006A6CE3">
        <w:rPr>
          <w:rFonts w:cs="Arial"/>
          <w:szCs w:val="36"/>
        </w:rPr>
        <w:t>Why should this matter to business</w:t>
      </w:r>
      <w:bookmarkEnd w:id="268"/>
      <w:bookmarkEnd w:id="269"/>
      <w:bookmarkEnd w:id="270"/>
      <w:bookmarkEnd w:id="271"/>
      <w:bookmarkEnd w:id="272"/>
      <w:r w:rsidRPr="006A6CE3">
        <w:rPr>
          <w:rFonts w:cs="Arial"/>
          <w:szCs w:val="36"/>
        </w:rPr>
        <w:t xml:space="preserve"> </w:t>
      </w:r>
    </w:p>
    <w:p w:rsidR="00913351" w:rsidRPr="006A6CE3" w:rsidRDefault="00913351" w:rsidP="00C05F92">
      <w:pPr>
        <w:rPr>
          <w:rFonts w:cs="Arial"/>
        </w:rPr>
      </w:pPr>
      <w:r w:rsidRPr="006A6CE3">
        <w:rPr>
          <w:rFonts w:cs="Arial"/>
        </w:rPr>
        <w:t>Biodiversity is declining, in the UK and globally, despite an increasing understanding of both its importance and the factors that are driving the decline (land use practices, pollution, deforestation, habitat fragmentation, over-consumption of resources, climate change etc</w:t>
      </w:r>
      <w:r w:rsidR="009C72E8">
        <w:rPr>
          <w:rFonts w:cs="Arial"/>
        </w:rPr>
        <w:t>.</w:t>
      </w:r>
      <w:r w:rsidRPr="006A6CE3">
        <w:rPr>
          <w:rFonts w:cs="Arial"/>
        </w:rPr>
        <w:t xml:space="preserve">).  </w:t>
      </w:r>
    </w:p>
    <w:p w:rsidR="00913351" w:rsidRPr="006A6CE3" w:rsidRDefault="00913351" w:rsidP="00C05F92">
      <w:pPr>
        <w:rPr>
          <w:rFonts w:cs="Arial"/>
        </w:rPr>
      </w:pPr>
      <w:r w:rsidRPr="006A6CE3">
        <w:rPr>
          <w:rFonts w:cs="Arial"/>
        </w:rPr>
        <w:t>The natural environment, including its biodiversity, provides us with valuable benefits, known as “ecosystem services”, that are critically important for our economic prosperity and wellbeing</w:t>
      </w:r>
      <w:r w:rsidRPr="006A6CE3">
        <w:rPr>
          <w:rStyle w:val="FootnoteReference"/>
          <w:rFonts w:cs="Arial"/>
          <w:color w:val="000000"/>
          <w:szCs w:val="24"/>
        </w:rPr>
        <w:footnoteReference w:id="71"/>
      </w:r>
      <w:r w:rsidRPr="006A6CE3">
        <w:rPr>
          <w:rFonts w:cs="Arial"/>
        </w:rPr>
        <w:t>.  These benefits include cleaning air and water, providing food, timber and other resources, pollinating our crops, regulating flooding and giving us health, wellbeing and recreational benefits. A healthy, properly functioning natural environment is the foundation of a healthy economy and society.</w:t>
      </w:r>
    </w:p>
    <w:p w:rsidR="00913351" w:rsidRPr="006A6CE3" w:rsidRDefault="00913351" w:rsidP="00C05F92">
      <w:pPr>
        <w:rPr>
          <w:rFonts w:cs="Arial"/>
        </w:rPr>
      </w:pPr>
      <w:r w:rsidRPr="006A6CE3">
        <w:rPr>
          <w:rFonts w:cs="Arial"/>
        </w:rPr>
        <w:t xml:space="preserve">Exploring the ecosystem services that your organisation is dependent upon allows you to understand the potential impacts that your business could be </w:t>
      </w:r>
      <w:r w:rsidRPr="006A6CE3">
        <w:rPr>
          <w:rFonts w:cs="Arial"/>
        </w:rPr>
        <w:lastRenderedPageBreak/>
        <w:t>having on biodiversity and the wider environmental systems it supports, as well as any key risks that may stem from these dependencies.  They may also be opportunities, such as new or expanding markets for ecosystem services.</w:t>
      </w:r>
    </w:p>
    <w:p w:rsidR="00913351" w:rsidRPr="006A6CE3" w:rsidRDefault="00913351" w:rsidP="00C05F92">
      <w:pPr>
        <w:rPr>
          <w:rFonts w:cs="Arial"/>
          <w:color w:val="000000"/>
          <w:szCs w:val="24"/>
        </w:rPr>
      </w:pPr>
      <w:r w:rsidRPr="006A6CE3">
        <w:rPr>
          <w:rFonts w:cs="Arial"/>
          <w:color w:val="000000"/>
          <w:szCs w:val="24"/>
        </w:rPr>
        <w:t xml:space="preserve">Your organisation can potentially have </w:t>
      </w:r>
      <w:r w:rsidRPr="006A6CE3">
        <w:rPr>
          <w:rFonts w:cs="Arial"/>
          <w:b/>
          <w:bCs/>
          <w:color w:val="000000"/>
          <w:szCs w:val="24"/>
        </w:rPr>
        <w:t xml:space="preserve">direct </w:t>
      </w:r>
      <w:r w:rsidRPr="006A6CE3">
        <w:rPr>
          <w:rFonts w:cs="Arial"/>
          <w:color w:val="000000"/>
          <w:szCs w:val="24"/>
        </w:rPr>
        <w:t xml:space="preserve">and </w:t>
      </w:r>
      <w:r w:rsidRPr="006A6CE3">
        <w:rPr>
          <w:rFonts w:cs="Arial"/>
          <w:b/>
          <w:bCs/>
          <w:color w:val="000000"/>
          <w:szCs w:val="24"/>
        </w:rPr>
        <w:t xml:space="preserve">indirect </w:t>
      </w:r>
      <w:r w:rsidRPr="006A6CE3">
        <w:rPr>
          <w:rFonts w:cs="Arial"/>
          <w:color w:val="000000"/>
          <w:szCs w:val="24"/>
        </w:rPr>
        <w:t xml:space="preserve">interactions with biodiversity and ecosystem services, and impacts can be either </w:t>
      </w:r>
      <w:r w:rsidRPr="006A6CE3">
        <w:rPr>
          <w:rFonts w:cs="Arial"/>
          <w:b/>
          <w:bCs/>
          <w:color w:val="000000"/>
          <w:szCs w:val="24"/>
        </w:rPr>
        <w:t xml:space="preserve">negative </w:t>
      </w:r>
      <w:r w:rsidRPr="006A6CE3">
        <w:rPr>
          <w:rFonts w:cs="Arial"/>
          <w:color w:val="000000"/>
          <w:szCs w:val="24"/>
        </w:rPr>
        <w:t xml:space="preserve">(e.g. degrading the quality/quantity of biodiversity or ecosystem services) or </w:t>
      </w:r>
      <w:r w:rsidRPr="006A6CE3">
        <w:rPr>
          <w:rFonts w:cs="Arial"/>
          <w:b/>
          <w:bCs/>
          <w:color w:val="000000"/>
          <w:szCs w:val="24"/>
        </w:rPr>
        <w:t xml:space="preserve">positive </w:t>
      </w:r>
      <w:r w:rsidRPr="006A6CE3">
        <w:rPr>
          <w:rFonts w:cs="Arial"/>
          <w:color w:val="000000"/>
          <w:szCs w:val="24"/>
        </w:rPr>
        <w:t xml:space="preserve">(e.g. creating a net contribution to the quality/quantity of biodiversity or ecosystem services). </w:t>
      </w:r>
    </w:p>
    <w:p w:rsidR="00913351" w:rsidRPr="006A6CE3" w:rsidRDefault="00913351" w:rsidP="00C05F92">
      <w:pPr>
        <w:rPr>
          <w:rFonts w:cs="Arial"/>
        </w:rPr>
      </w:pPr>
      <w:r w:rsidRPr="006A6CE3">
        <w:rPr>
          <w:rFonts w:cs="Arial"/>
          <w:b/>
        </w:rPr>
        <w:t>Direct impacts</w:t>
      </w:r>
      <w:r w:rsidRPr="006A6CE3">
        <w:rPr>
          <w:rFonts w:cs="Arial"/>
        </w:rPr>
        <w:t xml:space="preserve"> can occur when your organisation’s activities physically affect land, air or water environments and the organisms that occupy them, and examples are: developing land that was previously undeveloped which can displace a wide range of species; extracting water for irrigation can alter the amount of water reaching rivers and lakes, which in turn impacts upon the species that occupy them; emissions of toxic pollutants into the environment can damage or kill organisms. Direct impacts can also have a positive effect, for example, including measures that benefit wildlife and/or public enjoyment in management and maintenance regimes for landholdings and buildings. </w:t>
      </w:r>
    </w:p>
    <w:p w:rsidR="00913351" w:rsidRPr="006A6CE3" w:rsidRDefault="00913351" w:rsidP="00C05F92">
      <w:pPr>
        <w:rPr>
          <w:rFonts w:cs="Arial"/>
        </w:rPr>
      </w:pPr>
      <w:r w:rsidRPr="006A6CE3">
        <w:rPr>
          <w:rFonts w:cs="Arial"/>
          <w:b/>
          <w:bCs/>
        </w:rPr>
        <w:t xml:space="preserve">Indirect </w:t>
      </w:r>
      <w:r w:rsidRPr="006A6CE3">
        <w:rPr>
          <w:rFonts w:cs="Arial"/>
          <w:b/>
        </w:rPr>
        <w:t>impacts</w:t>
      </w:r>
      <w:r w:rsidRPr="006A6CE3">
        <w:rPr>
          <w:rFonts w:cs="Arial"/>
        </w:rPr>
        <w:t xml:space="preserve"> can arise from activities carried out by parties in your supply chain(s) or impacts associated with the use of your products/services. Indirect impacts may be difficult to predict and manage, but they can in some instances be far more significant than direct impacts.  They can also present fundamental risks to business resilience, and understanding the impacts of your supply chain on BES can help identify potential vulnerabilities.  This challenge is amplified in large global supply chains were materials are sourced from countries that are, for example, highly water stressed, or where valuable natural resources (e.g. rain forests) are being removed to enable the production of other agricultural commodities whose market value may not truly reflect the wider ecosystems value of the resource they replaced.  These issues can be damaging for an organisation’s reputation, but also highlight potential vulnerabilities and risks where there is a reliance on sensitive environmental systems.     </w:t>
      </w:r>
    </w:p>
    <w:p w:rsidR="00913351" w:rsidRPr="006A6CE3" w:rsidRDefault="00913351" w:rsidP="00C05F92">
      <w:pPr>
        <w:rPr>
          <w:rFonts w:cs="Arial"/>
        </w:rPr>
      </w:pPr>
      <w:r w:rsidRPr="006A6CE3">
        <w:rPr>
          <w:rFonts w:cs="Arial"/>
          <w:color w:val="000000"/>
        </w:rPr>
        <w:t>Understanding</w:t>
      </w:r>
      <w:r w:rsidRPr="006A6CE3">
        <w:rPr>
          <w:rFonts w:cs="Arial"/>
        </w:rPr>
        <w:t xml:space="preserve"> your organisation’s impacts and dependencies can help you manage and reduce risks and potentially highlight new business models and market opportunities, such as: </w:t>
      </w:r>
    </w:p>
    <w:p w:rsidR="00913351" w:rsidRPr="006A6CE3" w:rsidRDefault="00913351" w:rsidP="0086258B">
      <w:pPr>
        <w:numPr>
          <w:ilvl w:val="0"/>
          <w:numId w:val="60"/>
        </w:numPr>
        <w:rPr>
          <w:rFonts w:cs="Arial"/>
        </w:rPr>
      </w:pPr>
      <w:r w:rsidRPr="006A6CE3">
        <w:rPr>
          <w:rFonts w:cs="Arial"/>
        </w:rPr>
        <w:t xml:space="preserve">New technologies and products – that will serve as substitutes, reduce degradation, restore ecosystems or increase efficiency of ecosystem service use; </w:t>
      </w:r>
    </w:p>
    <w:p w:rsidR="00913351" w:rsidRPr="006A6CE3" w:rsidRDefault="00913351" w:rsidP="0086258B">
      <w:pPr>
        <w:numPr>
          <w:ilvl w:val="0"/>
          <w:numId w:val="60"/>
        </w:numPr>
        <w:rPr>
          <w:rFonts w:cs="Arial"/>
        </w:rPr>
      </w:pPr>
      <w:r w:rsidRPr="006A6CE3">
        <w:rPr>
          <w:rFonts w:cs="Arial"/>
        </w:rPr>
        <w:lastRenderedPageBreak/>
        <w:t xml:space="preserve">New markets – water quality trading, certified sustainable products, wetland banking and biodiversity offsetting; </w:t>
      </w:r>
    </w:p>
    <w:p w:rsidR="00913351" w:rsidRPr="006A6CE3" w:rsidRDefault="00913351" w:rsidP="0086258B">
      <w:pPr>
        <w:numPr>
          <w:ilvl w:val="0"/>
          <w:numId w:val="60"/>
        </w:numPr>
        <w:rPr>
          <w:rFonts w:cs="Arial"/>
        </w:rPr>
      </w:pPr>
      <w:r w:rsidRPr="006A6CE3">
        <w:rPr>
          <w:rFonts w:cs="Arial"/>
        </w:rPr>
        <w:t xml:space="preserve">New revenue streams – for assets currently unrealised such as wetlands and forests, but for which new markets or payments for ecosystem services could emerge. </w:t>
      </w:r>
    </w:p>
    <w:p w:rsidR="00913351" w:rsidRPr="006A6CE3" w:rsidRDefault="00913351" w:rsidP="00E204D9">
      <w:pPr>
        <w:pStyle w:val="Heading2"/>
        <w:rPr>
          <w:rFonts w:cs="Arial"/>
          <w:szCs w:val="36"/>
        </w:rPr>
      </w:pPr>
      <w:bookmarkStart w:id="273" w:name="_Toc358054501"/>
      <w:bookmarkStart w:id="274" w:name="_Toc358054591"/>
      <w:bookmarkStart w:id="275" w:name="_Toc358060231"/>
      <w:bookmarkStart w:id="276" w:name="_Toc358302304"/>
      <w:bookmarkStart w:id="277" w:name="_Toc380763584"/>
      <w:r w:rsidRPr="006A6CE3">
        <w:rPr>
          <w:rFonts w:cs="Arial"/>
          <w:szCs w:val="36"/>
        </w:rPr>
        <w:t>What to measure and report</w:t>
      </w:r>
      <w:bookmarkEnd w:id="273"/>
      <w:bookmarkEnd w:id="274"/>
      <w:bookmarkEnd w:id="275"/>
      <w:bookmarkEnd w:id="276"/>
      <w:bookmarkEnd w:id="277"/>
      <w:r w:rsidRPr="006A6CE3">
        <w:rPr>
          <w:rFonts w:cs="Arial"/>
          <w:szCs w:val="36"/>
        </w:rPr>
        <w:t xml:space="preserve"> </w:t>
      </w:r>
    </w:p>
    <w:p w:rsidR="00913351" w:rsidRPr="006A6CE3" w:rsidRDefault="00913351" w:rsidP="00C05F92">
      <w:pPr>
        <w:rPr>
          <w:rFonts w:cs="Arial"/>
        </w:rPr>
      </w:pPr>
      <w:r w:rsidRPr="006A6CE3">
        <w:rPr>
          <w:rFonts w:cs="Arial"/>
        </w:rPr>
        <w:t>As noted in The Economics of Ecosystems and Biodiversity (TEEB) Report</w:t>
      </w:r>
      <w:r w:rsidRPr="006A6CE3">
        <w:rPr>
          <w:rStyle w:val="FootnoteReference"/>
          <w:rFonts w:cs="Arial"/>
          <w:i/>
          <w:iCs/>
          <w:szCs w:val="24"/>
        </w:rPr>
        <w:footnoteReference w:id="72"/>
      </w:r>
      <w:r w:rsidRPr="006A6CE3">
        <w:rPr>
          <w:rFonts w:cs="Arial"/>
        </w:rPr>
        <w:t xml:space="preserve"> “the challenge is to establish reliable information management and accounting systems that can provide relevant information on biodiversity and ecosystem services to support operational decisions (e.g. the choice of production technology), to inform financial valuations or project assessments (e.g. capital investment), and for internal and external reporting”. This section aims to help you understand how you might go about measuring and reporting on biodiversity and ecosystems. </w:t>
      </w:r>
    </w:p>
    <w:p w:rsidR="00913351" w:rsidRPr="006A6CE3" w:rsidRDefault="00913351" w:rsidP="00C05F92">
      <w:pPr>
        <w:rPr>
          <w:rFonts w:cs="Arial"/>
        </w:rPr>
      </w:pPr>
      <w:r w:rsidRPr="006A6CE3">
        <w:rPr>
          <w:rFonts w:cs="Arial"/>
        </w:rPr>
        <w:t>Assessing impacts and dependencies on biodiversity and ecosystems presents a challenge as they may be outside the boundaries of your organisation’s operations and changes in an ecosystem are typically not solely the result of your organisation’s activities. Unlike other environmental indicators, there is no single easily quantifiable unit that can be recorded or measured.</w:t>
      </w:r>
    </w:p>
    <w:p w:rsidR="00913351" w:rsidRPr="006A6CE3" w:rsidRDefault="00913351" w:rsidP="00C05F92">
      <w:pPr>
        <w:rPr>
          <w:rFonts w:cs="Arial"/>
        </w:rPr>
      </w:pPr>
      <w:r w:rsidRPr="006A6CE3">
        <w:rPr>
          <w:rFonts w:cs="Arial"/>
        </w:rPr>
        <w:t xml:space="preserve">You should aim to integrate BES reporting into the reporting of the other aspects of this guidance i.e. water, greenhouse gas emissions, etc. For example, as well as measuring water use in your operations, you may want to consider the impact of activities in your supply chain on water resources and on the wildlife which they support. </w:t>
      </w:r>
    </w:p>
    <w:p w:rsidR="00913351" w:rsidRPr="006A6CE3" w:rsidRDefault="00913351" w:rsidP="00C05F92">
      <w:pPr>
        <w:rPr>
          <w:rFonts w:cs="Arial"/>
        </w:rPr>
      </w:pPr>
      <w:r w:rsidRPr="006A6CE3">
        <w:rPr>
          <w:rFonts w:cs="Arial"/>
        </w:rPr>
        <w:t xml:space="preserve">There are a number of steps we recommend you consider when thinking about how to measure and report on biodiversity and or ecosystem services in relation to your organisation: </w:t>
      </w:r>
    </w:p>
    <w:p w:rsidR="00913351" w:rsidRPr="006A6CE3" w:rsidRDefault="00913351" w:rsidP="00C05F92">
      <w:pPr>
        <w:rPr>
          <w:rFonts w:cs="Arial"/>
        </w:rPr>
      </w:pPr>
      <w:proofErr w:type="gramStart"/>
      <w:r w:rsidRPr="006A6CE3">
        <w:rPr>
          <w:rFonts w:cs="Arial"/>
          <w:b/>
        </w:rPr>
        <w:t>Step</w:t>
      </w:r>
      <w:proofErr w:type="gramEnd"/>
      <w:r w:rsidRPr="006A6CE3">
        <w:rPr>
          <w:rFonts w:cs="Arial"/>
          <w:b/>
        </w:rPr>
        <w:t xml:space="preserve"> 1</w:t>
      </w:r>
      <w:r w:rsidRPr="006A6CE3">
        <w:rPr>
          <w:rFonts w:cs="Arial"/>
        </w:rPr>
        <w:t xml:space="preserve"> – </w:t>
      </w:r>
      <w:r w:rsidRPr="006A6CE3">
        <w:rPr>
          <w:rFonts w:cs="Arial"/>
          <w:b/>
        </w:rPr>
        <w:t>Identify the main interactions</w:t>
      </w:r>
      <w:r w:rsidRPr="006A6CE3">
        <w:rPr>
          <w:rFonts w:cs="Arial"/>
        </w:rPr>
        <w:t xml:space="preserve"> your organisation has with the natural world and identify the ecosystem services that your business relies upon or impacts. Organisations that have in place an accredited environmental managements system (EMS) should already be identifying the risks to biodiversity their activities may pose.  There are a number of areas </w:t>
      </w:r>
      <w:r w:rsidRPr="006A6CE3">
        <w:rPr>
          <w:rFonts w:cs="Arial"/>
        </w:rPr>
        <w:lastRenderedPageBreak/>
        <w:t xml:space="preserve">that your organisation can review in order to understand its </w:t>
      </w:r>
      <w:r w:rsidR="00C118AE" w:rsidRPr="006A6CE3">
        <w:rPr>
          <w:rFonts w:cs="Arial"/>
        </w:rPr>
        <w:t>direct biodiversity</w:t>
      </w:r>
      <w:r w:rsidRPr="006A6CE3">
        <w:rPr>
          <w:rFonts w:cs="Arial"/>
        </w:rPr>
        <w:t xml:space="preserve"> interactions. You can: </w:t>
      </w:r>
    </w:p>
    <w:p w:rsidR="00913351" w:rsidRPr="006A6CE3" w:rsidRDefault="00913351" w:rsidP="0086258B">
      <w:pPr>
        <w:numPr>
          <w:ilvl w:val="0"/>
          <w:numId w:val="61"/>
        </w:numPr>
        <w:rPr>
          <w:rFonts w:cs="Arial"/>
        </w:rPr>
      </w:pPr>
      <w:r w:rsidRPr="006A6CE3">
        <w:rPr>
          <w:rFonts w:cs="Arial"/>
        </w:rPr>
        <w:t>Identify biodiversity features and impacts on landholdings controlled by your organisation (including any high value environmental assets e.g. woodland, rivers);</w:t>
      </w:r>
    </w:p>
    <w:p w:rsidR="00913351" w:rsidRPr="006A6CE3" w:rsidRDefault="00913351" w:rsidP="0086258B">
      <w:pPr>
        <w:numPr>
          <w:ilvl w:val="0"/>
          <w:numId w:val="61"/>
        </w:numPr>
        <w:rPr>
          <w:rFonts w:cs="Arial"/>
        </w:rPr>
      </w:pPr>
      <w:r w:rsidRPr="006A6CE3">
        <w:rPr>
          <w:rFonts w:cs="Arial"/>
        </w:rPr>
        <w:t>Establish the proximity of your sites to important wildlife features, e.g. SSSI’s, SACs/SPAs, nature reserves</w:t>
      </w:r>
    </w:p>
    <w:p w:rsidR="00913351" w:rsidRPr="006A6CE3" w:rsidRDefault="00913351" w:rsidP="0086258B">
      <w:pPr>
        <w:numPr>
          <w:ilvl w:val="0"/>
          <w:numId w:val="61"/>
        </w:numPr>
        <w:rPr>
          <w:rFonts w:cs="Arial"/>
        </w:rPr>
      </w:pPr>
      <w:r w:rsidRPr="006A6CE3">
        <w:rPr>
          <w:rFonts w:cs="Arial"/>
        </w:rPr>
        <w:t xml:space="preserve">Explore opportunities for including biodiversity features in your buildings and landholdings (green roofs, ponds, trees, wildlife gardens) that can offer a range of benefits including habitat creation, green corridors, recreation/amenity, solar shading, positive public perception, rain water/ flood attenuation); and  </w:t>
      </w:r>
    </w:p>
    <w:p w:rsidR="00913351" w:rsidRPr="006A6CE3" w:rsidRDefault="00913351" w:rsidP="0086258B">
      <w:pPr>
        <w:numPr>
          <w:ilvl w:val="0"/>
          <w:numId w:val="61"/>
        </w:numPr>
        <w:rPr>
          <w:rFonts w:cs="Arial"/>
        </w:rPr>
      </w:pPr>
      <w:r w:rsidRPr="006A6CE3">
        <w:rPr>
          <w:rFonts w:cs="Arial"/>
        </w:rPr>
        <w:t xml:space="preserve">Assess the scale of air, water, noise, and light emissions that may impact on the environment. </w:t>
      </w:r>
    </w:p>
    <w:p w:rsidR="00913351" w:rsidRPr="006A6CE3" w:rsidRDefault="00913351" w:rsidP="00C05F92">
      <w:pPr>
        <w:rPr>
          <w:rFonts w:cs="Arial"/>
        </w:rPr>
      </w:pPr>
      <w:r w:rsidRPr="006A6CE3">
        <w:rPr>
          <w:rFonts w:cs="Arial"/>
        </w:rPr>
        <w:t xml:space="preserve">There are a number of areas that your organisation can review in order to understand its </w:t>
      </w:r>
      <w:r w:rsidR="00C118AE" w:rsidRPr="006A6CE3">
        <w:rPr>
          <w:rFonts w:cs="Arial"/>
        </w:rPr>
        <w:t>indirect biodiversity</w:t>
      </w:r>
      <w:r w:rsidRPr="006A6CE3">
        <w:rPr>
          <w:rFonts w:cs="Arial"/>
        </w:rPr>
        <w:t xml:space="preserve"> interactions.  You can: </w:t>
      </w:r>
    </w:p>
    <w:p w:rsidR="00913351" w:rsidRPr="006A6CE3" w:rsidRDefault="00913351" w:rsidP="0086258B">
      <w:pPr>
        <w:numPr>
          <w:ilvl w:val="0"/>
          <w:numId w:val="62"/>
        </w:numPr>
        <w:rPr>
          <w:rFonts w:cs="Arial"/>
        </w:rPr>
      </w:pPr>
      <w:r w:rsidRPr="006A6CE3">
        <w:rPr>
          <w:rFonts w:cs="Arial"/>
        </w:rPr>
        <w:t>Audit supply chain policies on biodiversity.</w:t>
      </w:r>
    </w:p>
    <w:p w:rsidR="00913351" w:rsidRPr="006A6CE3" w:rsidRDefault="00913351" w:rsidP="0086258B">
      <w:pPr>
        <w:numPr>
          <w:ilvl w:val="0"/>
          <w:numId w:val="62"/>
        </w:numPr>
        <w:rPr>
          <w:rFonts w:cs="Arial"/>
        </w:rPr>
      </w:pPr>
      <w:r w:rsidRPr="006A6CE3">
        <w:rPr>
          <w:rFonts w:cs="Arial"/>
        </w:rPr>
        <w:t xml:space="preserve">Establish the origin of materials, and determine whether they are supplied from highly </w:t>
      </w:r>
      <w:proofErr w:type="spellStart"/>
      <w:r w:rsidRPr="006A6CE3">
        <w:rPr>
          <w:rFonts w:cs="Arial"/>
        </w:rPr>
        <w:t>biodiverse</w:t>
      </w:r>
      <w:proofErr w:type="spellEnd"/>
      <w:r w:rsidRPr="006A6CE3">
        <w:rPr>
          <w:rFonts w:cs="Arial"/>
        </w:rPr>
        <w:t xml:space="preserve"> or water stressed regions.</w:t>
      </w:r>
    </w:p>
    <w:p w:rsidR="00913351" w:rsidRPr="006A6CE3" w:rsidRDefault="00913351" w:rsidP="0086258B">
      <w:pPr>
        <w:numPr>
          <w:ilvl w:val="0"/>
          <w:numId w:val="62"/>
        </w:numPr>
        <w:rPr>
          <w:rFonts w:cs="Arial"/>
        </w:rPr>
      </w:pPr>
      <w:r w:rsidRPr="006A6CE3">
        <w:rPr>
          <w:rFonts w:cs="Arial"/>
        </w:rPr>
        <w:t xml:space="preserve">Understand the biodiversity impacts associated with the use of your products and services (e.g. provision of finance for activities that encourage deforestation, emission of pollutants, </w:t>
      </w:r>
      <w:proofErr w:type="gramStart"/>
      <w:r w:rsidRPr="006A6CE3">
        <w:rPr>
          <w:rFonts w:cs="Arial"/>
        </w:rPr>
        <w:t>production of hazardous waste/</w:t>
      </w:r>
      <w:proofErr w:type="gramEnd"/>
      <w:r w:rsidRPr="006A6CE3">
        <w:rPr>
          <w:rFonts w:cs="Arial"/>
        </w:rPr>
        <w:t xml:space="preserve"> by-products). </w:t>
      </w:r>
    </w:p>
    <w:p w:rsidR="00913351" w:rsidRPr="006A6CE3" w:rsidRDefault="00913351" w:rsidP="00C05F92">
      <w:pPr>
        <w:rPr>
          <w:rFonts w:cs="Arial"/>
        </w:rPr>
      </w:pPr>
      <w:r w:rsidRPr="006A6CE3">
        <w:rPr>
          <w:rFonts w:cs="Arial"/>
          <w:b/>
          <w:bCs/>
          <w:iCs/>
        </w:rPr>
        <w:t>Step 2</w:t>
      </w:r>
      <w:r w:rsidRPr="006A6CE3">
        <w:rPr>
          <w:rFonts w:cs="Arial"/>
          <w:b/>
          <w:bCs/>
          <w:i/>
          <w:iCs/>
        </w:rPr>
        <w:t xml:space="preserve"> </w:t>
      </w:r>
      <w:r w:rsidRPr="006A6CE3">
        <w:rPr>
          <w:rFonts w:cs="Arial"/>
        </w:rPr>
        <w:t xml:space="preserve">– </w:t>
      </w:r>
      <w:r w:rsidRPr="006A6CE3">
        <w:rPr>
          <w:rFonts w:cs="Arial"/>
          <w:b/>
        </w:rPr>
        <w:t>Select a set of priority biodiversity and ecosystem interactions</w:t>
      </w:r>
      <w:r w:rsidRPr="006A6CE3">
        <w:rPr>
          <w:rFonts w:cs="Arial"/>
        </w:rPr>
        <w:t xml:space="preserve"> that your organisation can influence, and develop these into clear targets for your organisation. It will be easier if you start simply with just one or two indicators, or a specific site, and set out your intention.  </w:t>
      </w:r>
    </w:p>
    <w:p w:rsidR="00913351" w:rsidRPr="006A6CE3" w:rsidRDefault="00913351" w:rsidP="00C05F92">
      <w:pPr>
        <w:rPr>
          <w:rFonts w:cs="Arial"/>
        </w:rPr>
      </w:pPr>
      <w:r w:rsidRPr="006A6CE3">
        <w:rPr>
          <w:rFonts w:cs="Arial"/>
          <w:b/>
        </w:rPr>
        <w:t>Step 3 - Develop indicators</w:t>
      </w:r>
      <w:r w:rsidRPr="006A6CE3">
        <w:rPr>
          <w:rFonts w:cs="Arial"/>
        </w:rPr>
        <w:t xml:space="preserve"> that will allow your organisation to monitor trends against the key interactions identified in step 2. Developing indicators is best viewed as an iterative process. Start by doing what is possible with your current levels of information. Use available knowledge and indicators as a starting point, adopting a small set of specific, business-relevant indicators. Focus your resources to address your key elements i.e. those most relevant to your organisation and any information gaps. No single indicator can tell the </w:t>
      </w:r>
      <w:r w:rsidRPr="006A6CE3">
        <w:rPr>
          <w:rFonts w:cs="Arial"/>
        </w:rPr>
        <w:lastRenderedPageBreak/>
        <w:t>full story. A combination of indicators ought to provide a comprehensive overview of your organisation’s performance. A narrative that explains the indicator and identifies the relationship linking performance and impacts will aid comprehension.</w:t>
      </w:r>
    </w:p>
    <w:p w:rsidR="00913351" w:rsidRPr="006A6CE3" w:rsidRDefault="00913351" w:rsidP="00C05F92">
      <w:pPr>
        <w:rPr>
          <w:rFonts w:cs="Arial"/>
          <w:szCs w:val="24"/>
        </w:rPr>
      </w:pPr>
      <w:r w:rsidRPr="006A6CE3">
        <w:rPr>
          <w:rFonts w:cs="Arial"/>
          <w:szCs w:val="24"/>
        </w:rPr>
        <w:t xml:space="preserve">Where direct measures are not yet developed or where there is no data, good proxy indicators can be used. There is potential for employing biodiversity indicators (which are generally more well developed) as proxies to indicate something about the flow of an ecosystem service (which is often difficult to measure or lacking in data), as long as the linkages between the two are well understood. However, although in some categorisations biodiversity is classified as an ecosystem service they are not inter-changeable. It is important not to lose sight of the importance of biodiversity by focusing only on ecosystem service benefits. </w:t>
      </w:r>
    </w:p>
    <w:p w:rsidR="00913351" w:rsidRPr="006A6CE3" w:rsidRDefault="00913351" w:rsidP="00C05F92">
      <w:pPr>
        <w:rPr>
          <w:rFonts w:cs="Arial"/>
        </w:rPr>
      </w:pPr>
      <w:r w:rsidRPr="006A6CE3">
        <w:rPr>
          <w:rFonts w:cs="Arial"/>
        </w:rPr>
        <w:t>The World Resources Institute ecosystem service indicators database</w:t>
      </w:r>
      <w:r w:rsidRPr="006A6CE3">
        <w:rPr>
          <w:rStyle w:val="FootnoteReference"/>
          <w:rFonts w:cs="Arial"/>
          <w:szCs w:val="24"/>
        </w:rPr>
        <w:footnoteReference w:id="73"/>
      </w:r>
      <w:r w:rsidRPr="006A6CE3">
        <w:rPr>
          <w:rFonts w:cs="Arial"/>
        </w:rPr>
        <w:t xml:space="preserve"> can also be used as a source of reference on ecosystem services.</w:t>
      </w:r>
    </w:p>
    <w:p w:rsidR="00913351" w:rsidRPr="006A6CE3" w:rsidRDefault="00913351" w:rsidP="00C05F92">
      <w:pPr>
        <w:rPr>
          <w:rFonts w:cs="Arial"/>
        </w:rPr>
      </w:pPr>
      <w:r w:rsidRPr="006A6CE3">
        <w:rPr>
          <w:rFonts w:cs="Arial"/>
          <w:b/>
        </w:rPr>
        <w:t>Step 4 – Establish data and reporting requirements</w:t>
      </w:r>
      <w:r w:rsidRPr="006A6CE3">
        <w:rPr>
          <w:rFonts w:cs="Arial"/>
        </w:rPr>
        <w:t>. If using a tool, report which one and set out the data sources and input parameters.  There are many tools available</w:t>
      </w:r>
      <w:r w:rsidRPr="006A6CE3">
        <w:rPr>
          <w:rStyle w:val="FootnoteReference"/>
          <w:rFonts w:cs="Arial"/>
          <w:szCs w:val="24"/>
        </w:rPr>
        <w:footnoteReference w:id="74"/>
      </w:r>
      <w:r w:rsidRPr="006A6CE3">
        <w:rPr>
          <w:rFonts w:cs="Arial"/>
        </w:rPr>
        <w:t xml:space="preserve"> and recently there has been a focus on integrating BES data sets and indicators within pre-existing organisation decision-making frameworks, notably ISO standards (14000)</w:t>
      </w:r>
      <w:r w:rsidRPr="006A6CE3">
        <w:rPr>
          <w:rStyle w:val="FootnoteReference"/>
          <w:rFonts w:cs="Arial"/>
          <w:szCs w:val="24"/>
        </w:rPr>
        <w:footnoteReference w:id="75"/>
      </w:r>
      <w:r w:rsidRPr="006A6CE3">
        <w:rPr>
          <w:rFonts w:cs="Arial"/>
        </w:rPr>
        <w:t xml:space="preserve">, the Global Compact Performance Model and the Global Reporting Initiative’s reporting framework. </w:t>
      </w:r>
      <w:proofErr w:type="gramStart"/>
      <w:r w:rsidRPr="006A6CE3">
        <w:rPr>
          <w:rFonts w:cs="Arial"/>
        </w:rPr>
        <w:t>If you are using one of these this can be used as part of your reporting.</w:t>
      </w:r>
      <w:proofErr w:type="gramEnd"/>
    </w:p>
    <w:p w:rsidR="00913351" w:rsidRPr="006A6CE3" w:rsidRDefault="00913351" w:rsidP="00C05F92">
      <w:pPr>
        <w:rPr>
          <w:rFonts w:cs="Arial"/>
        </w:rPr>
      </w:pPr>
      <w:r w:rsidRPr="006A6CE3">
        <w:rPr>
          <w:rFonts w:cs="Arial"/>
        </w:rPr>
        <w:t>The EU Business and Biodiversity platform has pulled together a non-exhaustive list of cross-</w:t>
      </w:r>
      <w:proofErr w:type="spellStart"/>
      <w:r w:rsidRPr="006A6CE3">
        <w:rPr>
          <w:rFonts w:cs="Arial"/>
        </w:rPr>
        <w:t>sectoral</w:t>
      </w:r>
      <w:proofErr w:type="spellEnd"/>
      <w:r w:rsidRPr="006A6CE3">
        <w:rPr>
          <w:rFonts w:cs="Arial"/>
        </w:rPr>
        <w:t xml:space="preserve"> biodiversity and ecosystems toolkits which could be used to assist in the measurement and monitoring of biodiversity and ecosystem interactions</w:t>
      </w:r>
      <w:r w:rsidRPr="006A6CE3">
        <w:rPr>
          <w:rStyle w:val="FootnoteReference"/>
          <w:rFonts w:cs="Arial"/>
        </w:rPr>
        <w:footnoteReference w:id="76"/>
      </w:r>
      <w:r w:rsidRPr="006A6CE3">
        <w:rPr>
          <w:rFonts w:cs="Arial"/>
        </w:rPr>
        <w:t xml:space="preserve">. </w:t>
      </w:r>
    </w:p>
    <w:p w:rsidR="00913351" w:rsidRPr="006A6CE3" w:rsidRDefault="00913351" w:rsidP="009E4403">
      <w:pPr>
        <w:autoSpaceDE w:val="0"/>
        <w:autoSpaceDN w:val="0"/>
        <w:spacing w:before="120" w:after="240"/>
        <w:rPr>
          <w:rFonts w:cs="Arial"/>
        </w:rPr>
      </w:pPr>
      <w:r w:rsidRPr="006A6CE3">
        <w:rPr>
          <w:rFonts w:cs="Arial"/>
          <w:b/>
        </w:rPr>
        <w:t>Step 5 - Develop a business strategy</w:t>
      </w:r>
      <w:r w:rsidRPr="006A6CE3">
        <w:rPr>
          <w:rFonts w:cs="Arial"/>
        </w:rPr>
        <w:t xml:space="preserve"> in response to the findings in step 2 (above). You should report on what systems and structures you have in place to reduce any impact and to ensure the benefits gained are maintained. You should have a strategy to reduce the negative impact of your organisation’s operations and products on the environment, maximise potential new </w:t>
      </w:r>
      <w:r w:rsidRPr="006A6CE3">
        <w:rPr>
          <w:rFonts w:cs="Arial"/>
        </w:rPr>
        <w:lastRenderedPageBreak/>
        <w:t>business opportunities and increase activities that restore and preserve</w:t>
      </w:r>
      <w:r w:rsidRPr="006A6CE3">
        <w:rPr>
          <w:rFonts w:cs="Arial"/>
          <w:szCs w:val="24"/>
        </w:rPr>
        <w:t xml:space="preserve"> </w:t>
      </w:r>
      <w:r w:rsidRPr="006A6CE3">
        <w:rPr>
          <w:rFonts w:cs="Arial"/>
        </w:rPr>
        <w:t>habitats. A local strategy may be appropriate for site specific considerations such as where your estate covers an SSSI</w:t>
      </w:r>
      <w:r w:rsidRPr="006A6CE3">
        <w:rPr>
          <w:rFonts w:cs="Arial"/>
        </w:rPr>
        <w:footnoteReference w:id="77"/>
      </w:r>
      <w:r w:rsidRPr="006A6CE3">
        <w:rPr>
          <w:rFonts w:cs="Arial"/>
        </w:rPr>
        <w:t xml:space="preserve"> or a particular habitat. The emphasis should be on a management plan with mitigation measures or abatement technologies utilised to reduce environmental pressures and a narrative of how these measures will result in reduced impacts on BES</w:t>
      </w:r>
      <w:r w:rsidR="00C05F92" w:rsidRPr="006A6CE3">
        <w:rPr>
          <w:rFonts w:cs="Arial"/>
        </w:rPr>
        <w:t>.</w:t>
      </w:r>
    </w:p>
    <w:p w:rsidR="00913351" w:rsidRPr="006A6CE3" w:rsidRDefault="00913351" w:rsidP="00C05F92">
      <w:pPr>
        <w:rPr>
          <w:rFonts w:cs="Arial"/>
        </w:rPr>
      </w:pPr>
      <w:r w:rsidRPr="006A6CE3">
        <w:rPr>
          <w:rFonts w:cs="Arial"/>
          <w:b/>
          <w:bCs/>
          <w:iCs/>
        </w:rPr>
        <w:t>Step 6</w:t>
      </w:r>
      <w:r w:rsidRPr="006A6CE3">
        <w:rPr>
          <w:rFonts w:cs="Arial"/>
          <w:b/>
          <w:bCs/>
          <w:i/>
          <w:iCs/>
        </w:rPr>
        <w:t xml:space="preserve"> </w:t>
      </w:r>
      <w:r w:rsidRPr="006A6CE3">
        <w:rPr>
          <w:rFonts w:cs="Arial"/>
        </w:rPr>
        <w:t xml:space="preserve">– </w:t>
      </w:r>
      <w:r w:rsidRPr="006A6CE3">
        <w:rPr>
          <w:rFonts w:cs="Arial"/>
          <w:b/>
        </w:rPr>
        <w:t>Report on your biodiversity and ecosystem services performance</w:t>
      </w:r>
      <w:r w:rsidRPr="006A6CE3">
        <w:rPr>
          <w:rFonts w:cs="Arial"/>
        </w:rPr>
        <w:t xml:space="preserve">, and present information on any additional biodiversity related initiatives deployed such as offsets. If you use offsetting in your work, you might want to report on: </w:t>
      </w:r>
    </w:p>
    <w:p w:rsidR="00913351" w:rsidRPr="006A6CE3" w:rsidRDefault="00913351" w:rsidP="0086258B">
      <w:pPr>
        <w:numPr>
          <w:ilvl w:val="0"/>
          <w:numId w:val="63"/>
        </w:numPr>
        <w:rPr>
          <w:rFonts w:cs="Arial"/>
        </w:rPr>
      </w:pPr>
      <w:r w:rsidRPr="006A6CE3">
        <w:rPr>
          <w:rFonts w:cs="Arial"/>
        </w:rPr>
        <w:t xml:space="preserve">The methodology used to calculate the impact of your development </w:t>
      </w:r>
    </w:p>
    <w:p w:rsidR="00913351" w:rsidRPr="006A6CE3" w:rsidRDefault="00913351" w:rsidP="0086258B">
      <w:pPr>
        <w:numPr>
          <w:ilvl w:val="0"/>
          <w:numId w:val="63"/>
        </w:numPr>
        <w:rPr>
          <w:rFonts w:cs="Arial"/>
        </w:rPr>
      </w:pPr>
      <w:r w:rsidRPr="006A6CE3">
        <w:rPr>
          <w:rFonts w:cs="Arial"/>
        </w:rPr>
        <w:t xml:space="preserve">The site you have chosen as an offset, and </w:t>
      </w:r>
    </w:p>
    <w:p w:rsidR="00913351" w:rsidRPr="006A6CE3" w:rsidRDefault="00913351" w:rsidP="0086258B">
      <w:pPr>
        <w:numPr>
          <w:ilvl w:val="0"/>
          <w:numId w:val="63"/>
        </w:numPr>
        <w:rPr>
          <w:rFonts w:cs="Arial"/>
        </w:rPr>
      </w:pPr>
      <w:r w:rsidRPr="006A6CE3">
        <w:rPr>
          <w:rFonts w:cs="Arial"/>
        </w:rPr>
        <w:t xml:space="preserve">How you have used the methodology to ensure there will be no net loss of biodiversity. </w:t>
      </w:r>
    </w:p>
    <w:p w:rsidR="00913351" w:rsidRPr="006A6CE3" w:rsidRDefault="00913351" w:rsidP="00FB554B">
      <w:pPr>
        <w:rPr>
          <w:rFonts w:cs="Arial"/>
          <w:b/>
          <w:color w:val="000000"/>
        </w:rPr>
      </w:pPr>
      <w:r w:rsidRPr="006A6CE3">
        <w:rPr>
          <w:rFonts w:cs="Arial"/>
        </w:rPr>
        <w:t>Offsetting work should be considered as an additional tool in managing and reporting on impacts on biodiversity and ecosystems, and not a substitute for it. (</w:t>
      </w:r>
      <w:r w:rsidRPr="0054730D">
        <w:rPr>
          <w:rFonts w:cs="Arial"/>
        </w:rPr>
        <w:t xml:space="preserve">For further details on offsetting see </w:t>
      </w:r>
      <w:hyperlink w:anchor="_Annex_G:_Emission" w:history="1">
        <w:r w:rsidRPr="0054730D">
          <w:rPr>
            <w:rStyle w:val="Hyperlink"/>
            <w:rFonts w:cs="Arial"/>
          </w:rPr>
          <w:t>Annex</w:t>
        </w:r>
        <w:r w:rsidR="001C17D8" w:rsidRPr="0054730D">
          <w:rPr>
            <w:rStyle w:val="Hyperlink"/>
            <w:rFonts w:cs="Arial"/>
          </w:rPr>
          <w:t xml:space="preserve"> G</w:t>
        </w:r>
      </w:hyperlink>
      <w:r w:rsidRPr="0054730D">
        <w:rPr>
          <w:rFonts w:cs="Arial"/>
        </w:rPr>
        <w:t>).</w:t>
      </w:r>
      <w:r w:rsidRPr="006A6CE3">
        <w:rPr>
          <w:rFonts w:cs="Arial"/>
        </w:rPr>
        <w:t xml:space="preserve"> </w:t>
      </w:r>
    </w:p>
    <w:p w:rsidR="00913351" w:rsidRPr="006A6CE3" w:rsidRDefault="00913351" w:rsidP="00E204D9">
      <w:pPr>
        <w:autoSpaceDE w:val="0"/>
        <w:autoSpaceDN w:val="0"/>
        <w:spacing w:before="120" w:after="240" w:line="240" w:lineRule="auto"/>
        <w:rPr>
          <w:rFonts w:cs="Arial"/>
          <w:b/>
          <w:color w:val="000000"/>
          <w:szCs w:val="24"/>
        </w:rPr>
      </w:pPr>
      <w:r w:rsidRPr="006A6CE3">
        <w:rPr>
          <w:rFonts w:cs="Arial"/>
          <w:b/>
          <w:color w:val="000000"/>
          <w:szCs w:val="24"/>
        </w:rPr>
        <w:br w:type="page"/>
      </w:r>
    </w:p>
    <w:p w:rsidR="00913351" w:rsidRPr="006A6CE3" w:rsidRDefault="00913351" w:rsidP="00EA5B43">
      <w:pPr>
        <w:pStyle w:val="Heading1"/>
      </w:pPr>
      <w:bookmarkStart w:id="278" w:name="_Toc358054502"/>
      <w:bookmarkStart w:id="279" w:name="_Toc358054592"/>
      <w:bookmarkStart w:id="280" w:name="_Toc358060232"/>
      <w:bookmarkStart w:id="281" w:name="_Toc358302305"/>
      <w:bookmarkStart w:id="282" w:name="_Toc380763585"/>
      <w:r w:rsidRPr="006A6CE3">
        <w:lastRenderedPageBreak/>
        <w:t>Annexes</w:t>
      </w:r>
      <w:bookmarkEnd w:id="278"/>
      <w:bookmarkEnd w:id="279"/>
      <w:bookmarkEnd w:id="280"/>
      <w:bookmarkEnd w:id="281"/>
      <w:bookmarkEnd w:id="282"/>
    </w:p>
    <w:p w:rsidR="00913351" w:rsidRPr="006A6CE3" w:rsidRDefault="00913351" w:rsidP="00EA5B43">
      <w:pPr>
        <w:pStyle w:val="Heading2"/>
      </w:pPr>
      <w:bookmarkStart w:id="283" w:name="_Annex_A:_Organisational"/>
      <w:bookmarkStart w:id="284" w:name="_Toc358054593"/>
      <w:bookmarkStart w:id="285" w:name="_Toc358060233"/>
      <w:bookmarkStart w:id="286" w:name="_Toc358302306"/>
      <w:bookmarkStart w:id="287" w:name="_Toc380763586"/>
      <w:bookmarkEnd w:id="283"/>
      <w:r w:rsidRPr="006A6CE3">
        <w:t>Annex A: Organisational boundary</w:t>
      </w:r>
      <w:bookmarkEnd w:id="284"/>
      <w:bookmarkEnd w:id="285"/>
      <w:bookmarkEnd w:id="286"/>
      <w:bookmarkEnd w:id="287"/>
    </w:p>
    <w:p w:rsidR="00913351" w:rsidRPr="006A6CE3" w:rsidRDefault="00913351" w:rsidP="00FB554B">
      <w:pPr>
        <w:rPr>
          <w:rFonts w:cs="Arial"/>
        </w:rPr>
      </w:pPr>
      <w:r w:rsidRPr="006A6CE3">
        <w:rPr>
          <w:rFonts w:cs="Arial"/>
        </w:rPr>
        <w:t>This section looks in more detail at the approaches to setting organisational boundaries.</w:t>
      </w:r>
    </w:p>
    <w:p w:rsidR="00913351" w:rsidRPr="006A6CE3" w:rsidRDefault="00913351" w:rsidP="00FB554B">
      <w:pPr>
        <w:rPr>
          <w:rFonts w:cs="Arial"/>
        </w:rPr>
      </w:pPr>
      <w:r w:rsidRPr="006A6CE3">
        <w:rPr>
          <w:rFonts w:cs="Arial"/>
        </w:rPr>
        <w:t xml:space="preserve">Control can be defined in either financial or operational terms.  In most cases, whether an operation is controlled by the organisation or not does not vary based on whether the financial control or operational control approach is used. A notable exception is the oil and gas industry, which often has complex ownership/operator structures. </w:t>
      </w:r>
    </w:p>
    <w:p w:rsidR="00913351" w:rsidRPr="006A6CE3" w:rsidRDefault="00913351" w:rsidP="00E204D9">
      <w:pPr>
        <w:pStyle w:val="Heading4"/>
        <w:rPr>
          <w:rStyle w:val="SubtleReference"/>
          <w:rFonts w:cs="Arial"/>
          <w:b/>
          <w:i w:val="0"/>
          <w:color w:val="76923C"/>
          <w:sz w:val="28"/>
          <w:szCs w:val="28"/>
        </w:rPr>
      </w:pPr>
      <w:r w:rsidRPr="006A6CE3">
        <w:rPr>
          <w:rStyle w:val="SubtleReference"/>
          <w:rFonts w:cs="Arial"/>
          <w:b/>
          <w:i w:val="0"/>
          <w:color w:val="76923C"/>
          <w:sz w:val="28"/>
          <w:szCs w:val="28"/>
        </w:rPr>
        <w:t xml:space="preserve">Financial control </w:t>
      </w:r>
    </w:p>
    <w:p w:rsidR="00913351" w:rsidRPr="006A6CE3" w:rsidRDefault="00913351" w:rsidP="00FB554B">
      <w:pPr>
        <w:rPr>
          <w:rFonts w:cs="Arial"/>
        </w:rPr>
      </w:pPr>
      <w:r w:rsidRPr="006A6CE3">
        <w:rPr>
          <w:rFonts w:cs="Arial"/>
        </w:rPr>
        <w:t xml:space="preserve">An organisation has financial control over the operation if the former directly or indirectly has the ability to direct the financial and operating policies of the latter with a view to gaining economic benefits from the operation’s activities. For example, financial control usually exists if the organisation has the right to the majority of benefits of the operation. Similarly, an organisation is considered to financially control an operation if it retains the majority risks and rewards of ownership of the operation’s assets. </w:t>
      </w:r>
    </w:p>
    <w:p w:rsidR="00913351" w:rsidRPr="006A6CE3" w:rsidRDefault="00913351" w:rsidP="00FB554B">
      <w:pPr>
        <w:rPr>
          <w:rFonts w:cs="Arial"/>
        </w:rPr>
      </w:pPr>
      <w:r w:rsidRPr="006A6CE3">
        <w:rPr>
          <w:rFonts w:cs="Arial"/>
        </w:rPr>
        <w:t xml:space="preserve">An organisation has financial control over an operation for environmental reporting purposes if the operation is considered a subsidiary for the purposes of financial reporting, i.e., if the operation is fully consolidated in the reporting organisation’s financial statements.  This approach follows the guidance set out in International Financial Reporting Standards (IFRS) and in UK Generally Accepted Accounting Principles (GAAP), such that the economic substance of the relationship takes precedence over the legal ownership.  Therefore a company may have financial control over an operation even if it has less than a 50 percent interest in that operation. </w:t>
      </w:r>
    </w:p>
    <w:p w:rsidR="00913351" w:rsidRPr="006A6CE3" w:rsidRDefault="00913351" w:rsidP="00FB554B">
      <w:pPr>
        <w:rPr>
          <w:rFonts w:cs="Arial"/>
          <w:szCs w:val="24"/>
        </w:rPr>
      </w:pPr>
      <w:r w:rsidRPr="006A6CE3">
        <w:rPr>
          <w:rFonts w:cs="Arial"/>
          <w:szCs w:val="24"/>
        </w:rPr>
        <w:t xml:space="preserve">Financial control covers a similar group of entities to those within the financial statement. </w:t>
      </w:r>
      <w:r w:rsidRPr="00E8055E">
        <w:rPr>
          <w:rFonts w:cs="Arial"/>
          <w:szCs w:val="24"/>
        </w:rPr>
        <w:t xml:space="preserve">Associates are exceptions as they are represented within the </w:t>
      </w:r>
      <w:r w:rsidRPr="006A6CE3">
        <w:rPr>
          <w:rFonts w:cs="Arial"/>
          <w:szCs w:val="24"/>
        </w:rPr>
        <w:t xml:space="preserve">financial statement, but are excluded from the financial control boundary for environmental reporting purposes as they are not under the control of the parent organisation.  </w:t>
      </w:r>
    </w:p>
    <w:p w:rsidR="00913351" w:rsidRPr="006A6CE3" w:rsidRDefault="00913351" w:rsidP="00E204D9">
      <w:pPr>
        <w:pStyle w:val="Heading4"/>
        <w:rPr>
          <w:rStyle w:val="SubtleReference"/>
          <w:rFonts w:cs="Arial"/>
          <w:b/>
          <w:i w:val="0"/>
          <w:color w:val="76923C"/>
          <w:sz w:val="28"/>
          <w:szCs w:val="28"/>
        </w:rPr>
      </w:pPr>
      <w:r w:rsidRPr="006A6CE3">
        <w:rPr>
          <w:rStyle w:val="SubtleReference"/>
          <w:rFonts w:cs="Arial"/>
          <w:b/>
          <w:i w:val="0"/>
          <w:color w:val="76923C"/>
          <w:sz w:val="28"/>
          <w:szCs w:val="28"/>
        </w:rPr>
        <w:lastRenderedPageBreak/>
        <w:t xml:space="preserve">Operational control </w:t>
      </w:r>
    </w:p>
    <w:p w:rsidR="00913351" w:rsidRPr="006A6CE3" w:rsidRDefault="00913351" w:rsidP="00E204D9">
      <w:pPr>
        <w:rPr>
          <w:rFonts w:cs="Arial"/>
        </w:rPr>
      </w:pPr>
      <w:r w:rsidRPr="006A6CE3">
        <w:rPr>
          <w:rFonts w:cs="Arial"/>
        </w:rPr>
        <w:t>An organisation</w:t>
      </w:r>
      <w:r w:rsidRPr="006A6CE3">
        <w:rPr>
          <w:rFonts w:cs="Arial"/>
          <w:i/>
          <w:iCs/>
        </w:rPr>
        <w:t xml:space="preserve"> </w:t>
      </w:r>
      <w:r w:rsidRPr="006A6CE3">
        <w:rPr>
          <w:rFonts w:cs="Arial"/>
        </w:rPr>
        <w:t xml:space="preserve">has operational control over an operation if the former or one of its subsidiaries has the full authority to introduce and implement its operating policies at the operation. Such arrangements commonly arise in the oil and gas industry, where one of the investors in a joint venture or consortium is nominated to operate the joint venture activity on behalf of other investors.  </w:t>
      </w:r>
    </w:p>
    <w:p w:rsidR="00913351" w:rsidRPr="006A6CE3" w:rsidRDefault="00913351" w:rsidP="00E204D9">
      <w:pPr>
        <w:pStyle w:val="Heading4"/>
        <w:rPr>
          <w:rStyle w:val="SubtleReference"/>
          <w:rFonts w:cs="Arial"/>
          <w:b/>
          <w:i w:val="0"/>
          <w:color w:val="76923C"/>
          <w:sz w:val="28"/>
          <w:szCs w:val="28"/>
        </w:rPr>
      </w:pPr>
      <w:r w:rsidRPr="006A6CE3">
        <w:rPr>
          <w:rStyle w:val="SubtleReference"/>
          <w:rFonts w:cs="Arial"/>
          <w:b/>
          <w:i w:val="0"/>
          <w:color w:val="76923C"/>
          <w:sz w:val="28"/>
          <w:szCs w:val="28"/>
        </w:rPr>
        <w:t>Equity share</w:t>
      </w:r>
    </w:p>
    <w:p w:rsidR="00913351" w:rsidRPr="006A6CE3" w:rsidRDefault="00913351" w:rsidP="00E204D9">
      <w:pPr>
        <w:rPr>
          <w:rStyle w:val="SubtleReference"/>
          <w:rFonts w:cs="Arial"/>
        </w:rPr>
      </w:pPr>
      <w:r w:rsidRPr="006A6CE3">
        <w:rPr>
          <w:rFonts w:cs="Arial"/>
        </w:rPr>
        <w:t xml:space="preserve">The equity share reflects the extent of the rights a company has to the risks and rewards from an operation based on an organisation’s equity interest.  Equity share will therefore be the same as the ownership percentage.  </w:t>
      </w:r>
    </w:p>
    <w:p w:rsidR="00913351" w:rsidRPr="006A6CE3" w:rsidRDefault="00913351" w:rsidP="00E204D9">
      <w:pPr>
        <w:pStyle w:val="Heading4"/>
        <w:rPr>
          <w:rStyle w:val="SubtleReference"/>
          <w:rFonts w:cs="Arial"/>
          <w:b/>
          <w:i w:val="0"/>
          <w:color w:val="76923C"/>
          <w:sz w:val="28"/>
          <w:szCs w:val="28"/>
        </w:rPr>
      </w:pPr>
      <w:r w:rsidRPr="006A6CE3">
        <w:rPr>
          <w:rStyle w:val="SubtleReference"/>
          <w:rFonts w:cs="Arial"/>
          <w:b/>
          <w:i w:val="0"/>
          <w:color w:val="76923C"/>
          <w:sz w:val="28"/>
          <w:szCs w:val="28"/>
        </w:rPr>
        <w:t>Climate Change Reporting Framework (CCRF)</w:t>
      </w:r>
    </w:p>
    <w:p w:rsidR="00913351" w:rsidRPr="006A6CE3" w:rsidRDefault="00913351" w:rsidP="00E204D9">
      <w:pPr>
        <w:rPr>
          <w:rFonts w:cs="Arial"/>
          <w:lang w:eastAsia="en-GB"/>
        </w:rPr>
      </w:pPr>
      <w:r w:rsidRPr="006A6CE3">
        <w:rPr>
          <w:rFonts w:cs="Arial"/>
        </w:rPr>
        <w:t xml:space="preserve">The </w:t>
      </w:r>
      <w:hyperlink r:id="rId70" w:history="1">
        <w:r w:rsidRPr="006A6CE3">
          <w:rPr>
            <w:rStyle w:val="Hyperlink"/>
            <w:rFonts w:cs="Arial"/>
          </w:rPr>
          <w:t>Climate Disclosure Standards Board</w:t>
        </w:r>
      </w:hyperlink>
      <w:r w:rsidRPr="006A6CE3">
        <w:rPr>
          <w:rFonts w:cs="Arial"/>
        </w:rPr>
        <w:t xml:space="preserve">‘s CCRF requests reporting on impacts from entities within the financial control boundary – categorized as “Part 1”. The impacts of associates are reported as a separate item in Part 2. This provides alignment with the financial control approach of the GHG Protocol Corporate Standard while also enabling </w:t>
      </w:r>
      <w:r w:rsidRPr="006A6CE3">
        <w:rPr>
          <w:rFonts w:cs="Arial"/>
          <w:lang w:eastAsia="en-GB"/>
        </w:rPr>
        <w:t>emissions from investments in associates to be reconciled to the entities within the consolidated financial statement.</w:t>
      </w:r>
    </w:p>
    <w:p w:rsidR="00913351" w:rsidRPr="006A6CE3" w:rsidRDefault="00913351" w:rsidP="00E204D9">
      <w:pPr>
        <w:rPr>
          <w:rFonts w:cs="Arial"/>
        </w:rPr>
      </w:pPr>
      <w:r w:rsidRPr="006A6CE3">
        <w:rPr>
          <w:rFonts w:cs="Arial"/>
          <w:lang w:eastAsia="en-GB"/>
        </w:rPr>
        <w:t xml:space="preserve">It also requests that the impacts of the following </w:t>
      </w:r>
      <w:r w:rsidRPr="006A6CE3">
        <w:rPr>
          <w:rFonts w:cs="Arial"/>
        </w:rPr>
        <w:t>entities are reported as Part 2 items.</w:t>
      </w:r>
    </w:p>
    <w:p w:rsidR="00913351" w:rsidRPr="006A6CE3" w:rsidRDefault="00913351" w:rsidP="00E204D9">
      <w:pPr>
        <w:rPr>
          <w:rFonts w:cs="Arial"/>
          <w:lang w:eastAsia="en-GB"/>
        </w:rPr>
      </w:pPr>
      <w:r w:rsidRPr="006A6CE3">
        <w:rPr>
          <w:rFonts w:cs="Arial"/>
        </w:rPr>
        <w:t xml:space="preserve">Impacts from entities that are </w:t>
      </w:r>
      <w:r w:rsidRPr="006A6CE3">
        <w:rPr>
          <w:rFonts w:cs="Arial"/>
          <w:lang w:eastAsia="en-GB"/>
        </w:rPr>
        <w:t>operationally-controlled and/or other entities/activities/facilities that:</w:t>
      </w:r>
    </w:p>
    <w:p w:rsidR="00913351" w:rsidRPr="006A6CE3" w:rsidRDefault="00913351" w:rsidP="0086258B">
      <w:pPr>
        <w:numPr>
          <w:ilvl w:val="0"/>
          <w:numId w:val="64"/>
        </w:numPr>
        <w:spacing w:before="200" w:after="200"/>
        <w:rPr>
          <w:rFonts w:cs="Arial"/>
          <w:lang w:eastAsia="en-GB"/>
        </w:rPr>
      </w:pPr>
      <w:r w:rsidRPr="006A6CE3">
        <w:rPr>
          <w:rFonts w:cs="Arial"/>
          <w:szCs w:val="24"/>
          <w:lang w:eastAsia="en-GB"/>
        </w:rPr>
        <w:t xml:space="preserve">are not consolidated in Part 1; </w:t>
      </w:r>
    </w:p>
    <w:p w:rsidR="00913351" w:rsidRPr="006A6CE3" w:rsidRDefault="00913351" w:rsidP="00E204D9">
      <w:pPr>
        <w:rPr>
          <w:rFonts w:cs="Arial"/>
          <w:b/>
          <w:lang w:eastAsia="en-GB"/>
        </w:rPr>
      </w:pPr>
      <w:proofErr w:type="gramStart"/>
      <w:r w:rsidRPr="006A6CE3">
        <w:rPr>
          <w:rFonts w:cs="Arial"/>
          <w:b/>
          <w:lang w:eastAsia="en-GB"/>
        </w:rPr>
        <w:t>and</w:t>
      </w:r>
      <w:proofErr w:type="gramEnd"/>
    </w:p>
    <w:p w:rsidR="00913351" w:rsidRPr="006A6CE3" w:rsidRDefault="00913351" w:rsidP="0086258B">
      <w:pPr>
        <w:numPr>
          <w:ilvl w:val="0"/>
          <w:numId w:val="64"/>
        </w:numPr>
        <w:spacing w:before="200" w:after="200"/>
        <w:rPr>
          <w:rFonts w:cs="Arial"/>
          <w:lang w:eastAsia="en-GB"/>
        </w:rPr>
      </w:pPr>
      <w:r w:rsidRPr="006A6CE3">
        <w:rPr>
          <w:rFonts w:cs="Arial"/>
          <w:lang w:eastAsia="en-GB"/>
        </w:rPr>
        <w:t xml:space="preserve">must be reported under regulatory requirements by the disclosing organisation in its capacity as operating licensee or in any other capacity (e.g. tenant); </w:t>
      </w:r>
    </w:p>
    <w:p w:rsidR="00913351" w:rsidRPr="006A6CE3" w:rsidRDefault="00913351" w:rsidP="00E204D9">
      <w:pPr>
        <w:rPr>
          <w:rFonts w:cs="Arial"/>
          <w:b/>
          <w:lang w:eastAsia="en-GB"/>
        </w:rPr>
      </w:pPr>
      <w:proofErr w:type="gramStart"/>
      <w:r w:rsidRPr="006A6CE3">
        <w:rPr>
          <w:rFonts w:cs="Arial"/>
          <w:b/>
          <w:lang w:eastAsia="en-GB"/>
        </w:rPr>
        <w:t>or</w:t>
      </w:r>
      <w:proofErr w:type="gramEnd"/>
      <w:r w:rsidRPr="006A6CE3">
        <w:rPr>
          <w:rFonts w:cs="Arial"/>
          <w:b/>
          <w:lang w:eastAsia="en-GB"/>
        </w:rPr>
        <w:t xml:space="preserve"> </w:t>
      </w:r>
    </w:p>
    <w:p w:rsidR="00913351" w:rsidRPr="006A6CE3" w:rsidRDefault="00913351" w:rsidP="0086258B">
      <w:pPr>
        <w:numPr>
          <w:ilvl w:val="0"/>
          <w:numId w:val="64"/>
        </w:numPr>
        <w:rPr>
          <w:rFonts w:cs="Arial"/>
          <w:lang w:eastAsia="en-GB"/>
        </w:rPr>
      </w:pPr>
      <w:r w:rsidRPr="006A6CE3">
        <w:rPr>
          <w:rFonts w:cs="Arial"/>
          <w:lang w:eastAsia="en-GB"/>
        </w:rPr>
        <w:t xml:space="preserve">due to the nature of the contract for the operation or use of the entity/activity/facility: </w:t>
      </w:r>
    </w:p>
    <w:p w:rsidR="00913351" w:rsidRPr="006A6CE3" w:rsidRDefault="00913351" w:rsidP="00E204D9">
      <w:pPr>
        <w:rPr>
          <w:rFonts w:cs="Arial"/>
          <w:lang w:eastAsia="en-GB"/>
        </w:rPr>
      </w:pPr>
      <w:proofErr w:type="gramStart"/>
      <w:r w:rsidRPr="006A6CE3">
        <w:rPr>
          <w:rFonts w:cs="Arial"/>
          <w:lang w:eastAsia="en-GB"/>
        </w:rPr>
        <w:t>i</w:t>
      </w:r>
      <w:proofErr w:type="gramEnd"/>
      <w:r w:rsidRPr="006A6CE3">
        <w:rPr>
          <w:rFonts w:cs="Arial"/>
          <w:lang w:eastAsia="en-GB"/>
        </w:rPr>
        <w:t xml:space="preserve">. expose the reporting organisation to risk, opportunity or financial impacts; </w:t>
      </w:r>
    </w:p>
    <w:p w:rsidR="00913351" w:rsidRPr="006A6CE3" w:rsidRDefault="00913351" w:rsidP="00E204D9">
      <w:pPr>
        <w:rPr>
          <w:rFonts w:cs="Arial"/>
          <w:b/>
          <w:lang w:eastAsia="en-GB"/>
        </w:rPr>
      </w:pPr>
      <w:proofErr w:type="gramStart"/>
      <w:r w:rsidRPr="006A6CE3">
        <w:rPr>
          <w:rFonts w:cs="Arial"/>
          <w:b/>
          <w:lang w:eastAsia="en-GB"/>
        </w:rPr>
        <w:lastRenderedPageBreak/>
        <w:t>or</w:t>
      </w:r>
      <w:proofErr w:type="gramEnd"/>
    </w:p>
    <w:p w:rsidR="00913351" w:rsidRPr="006A6CE3" w:rsidRDefault="00913351" w:rsidP="00E204D9">
      <w:pPr>
        <w:rPr>
          <w:rFonts w:cs="Arial"/>
          <w:lang w:eastAsia="en-GB"/>
        </w:rPr>
      </w:pPr>
      <w:r w:rsidRPr="006A6CE3">
        <w:rPr>
          <w:rFonts w:cs="Arial"/>
          <w:lang w:eastAsia="en-GB"/>
        </w:rPr>
        <w:t xml:space="preserve"> ii. </w:t>
      </w:r>
      <w:proofErr w:type="gramStart"/>
      <w:r w:rsidRPr="006A6CE3">
        <w:rPr>
          <w:rFonts w:cs="Arial"/>
          <w:lang w:eastAsia="en-GB"/>
        </w:rPr>
        <w:t>enable</w:t>
      </w:r>
      <w:proofErr w:type="gramEnd"/>
      <w:r w:rsidRPr="006A6CE3">
        <w:rPr>
          <w:rFonts w:cs="Arial"/>
          <w:lang w:eastAsia="en-GB"/>
        </w:rPr>
        <w:t xml:space="preserve"> the reporting organisation to influence the extent to which GHGs are emitted.</w:t>
      </w:r>
    </w:p>
    <w:p w:rsidR="00913351" w:rsidRPr="006A6CE3" w:rsidRDefault="00913351" w:rsidP="00E204D9">
      <w:pPr>
        <w:rPr>
          <w:rFonts w:cs="Arial"/>
        </w:rPr>
      </w:pPr>
      <w:r w:rsidRPr="006A6CE3">
        <w:rPr>
          <w:rFonts w:cs="Arial"/>
        </w:rPr>
        <w:t xml:space="preserve">This approach has the advantages of providing a comprehensive set of </w:t>
      </w:r>
      <w:proofErr w:type="gramStart"/>
      <w:r w:rsidRPr="006A6CE3">
        <w:rPr>
          <w:rFonts w:cs="Arial"/>
        </w:rPr>
        <w:t xml:space="preserve">data  </w:t>
      </w:r>
      <w:r w:rsidRPr="00E8055E">
        <w:rPr>
          <w:rFonts w:cs="Arial"/>
        </w:rPr>
        <w:t>and</w:t>
      </w:r>
      <w:proofErr w:type="gramEnd"/>
      <w:r w:rsidR="00FB554B" w:rsidRPr="006A6CE3">
        <w:rPr>
          <w:rFonts w:cs="Arial"/>
        </w:rPr>
        <w:t xml:space="preserve"> </w:t>
      </w:r>
      <w:r w:rsidRPr="006A6CE3">
        <w:rPr>
          <w:rFonts w:cs="Arial"/>
        </w:rPr>
        <w:t>alignment with other reporting practices.</w:t>
      </w:r>
    </w:p>
    <w:p w:rsidR="00913351" w:rsidRPr="006A6CE3" w:rsidRDefault="00913351" w:rsidP="00FB554B">
      <w:pPr>
        <w:rPr>
          <w:rFonts w:cs="Arial"/>
        </w:rPr>
      </w:pPr>
      <w:r w:rsidRPr="006A6CE3">
        <w:rPr>
          <w:rFonts w:cs="Arial"/>
        </w:rPr>
        <w:t xml:space="preserve">The following table shows how to consolidate environmental impacts according to the </w:t>
      </w:r>
      <w:r w:rsidRPr="00E8055E">
        <w:rPr>
          <w:rFonts w:cs="Arial"/>
        </w:rPr>
        <w:t>approaches</w:t>
      </w:r>
      <w:r w:rsidRPr="006A6CE3">
        <w:rPr>
          <w:rFonts w:cs="Arial"/>
        </w:rPr>
        <w:t xml:space="preserve"> described above. </w:t>
      </w:r>
      <w:proofErr w:type="gramStart"/>
      <w:r w:rsidRPr="006A6CE3">
        <w:rPr>
          <w:rFonts w:cs="Arial"/>
        </w:rPr>
        <w:t>Columns three, four and five show the percentage of the environmental impact that should be summed to reach a total.</w:t>
      </w:r>
      <w:proofErr w:type="gramEnd"/>
      <w:r w:rsidRPr="006A6CE3">
        <w:rPr>
          <w:rFonts w:cs="Arial"/>
        </w:rPr>
        <w:t xml:space="preserve"> </w:t>
      </w:r>
    </w:p>
    <w:p w:rsidR="00913351" w:rsidRPr="006A6CE3" w:rsidRDefault="00913351" w:rsidP="00E204D9">
      <w:pPr>
        <w:pStyle w:val="Heading4"/>
        <w:rPr>
          <w:rStyle w:val="SubtleReference"/>
          <w:rFonts w:cs="Arial"/>
          <w:color w:val="76923C"/>
        </w:rPr>
      </w:pPr>
      <w:r w:rsidRPr="006A6CE3">
        <w:rPr>
          <w:rStyle w:val="SubtleReference"/>
          <w:rFonts w:cs="Arial"/>
          <w:color w:val="76923C"/>
        </w:rPr>
        <w:t xml:space="preserve">Table 1: Accounting for environmental impacts </w:t>
      </w:r>
    </w:p>
    <w:p w:rsidR="00913351" w:rsidRPr="006A6CE3" w:rsidRDefault="00913351" w:rsidP="00E204D9">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2570"/>
        <w:gridCol w:w="1308"/>
        <w:gridCol w:w="1433"/>
        <w:gridCol w:w="1457"/>
      </w:tblGrid>
      <w:tr w:rsidR="00913351" w:rsidRPr="006A6CE3" w:rsidTr="00913351">
        <w:tc>
          <w:tcPr>
            <w:tcW w:w="1036" w:type="pct"/>
          </w:tcPr>
          <w:p w:rsidR="00913351" w:rsidRPr="006A6CE3" w:rsidRDefault="00913351" w:rsidP="00E204D9">
            <w:pPr>
              <w:rPr>
                <w:rFonts w:cs="Arial"/>
              </w:rPr>
            </w:pPr>
          </w:p>
        </w:tc>
        <w:tc>
          <w:tcPr>
            <w:tcW w:w="1511" w:type="pct"/>
          </w:tcPr>
          <w:p w:rsidR="00913351" w:rsidRPr="006A6CE3" w:rsidRDefault="00913351" w:rsidP="00E204D9">
            <w:pPr>
              <w:rPr>
                <w:rFonts w:cs="Arial"/>
              </w:rPr>
            </w:pPr>
          </w:p>
        </w:tc>
        <w:tc>
          <w:tcPr>
            <w:tcW w:w="771" w:type="pct"/>
            <w:tcBorders>
              <w:bottom w:val="single" w:sz="4" w:space="0" w:color="auto"/>
            </w:tcBorders>
          </w:tcPr>
          <w:p w:rsidR="00913351" w:rsidRPr="006A6CE3" w:rsidRDefault="00913351" w:rsidP="00E204D9">
            <w:pPr>
              <w:rPr>
                <w:rFonts w:cs="Arial"/>
              </w:rPr>
            </w:pPr>
          </w:p>
        </w:tc>
        <w:tc>
          <w:tcPr>
            <w:tcW w:w="1682" w:type="pct"/>
            <w:gridSpan w:val="2"/>
          </w:tcPr>
          <w:p w:rsidR="00913351" w:rsidRPr="006A6CE3" w:rsidRDefault="00913351" w:rsidP="00E204D9">
            <w:pPr>
              <w:rPr>
                <w:rFonts w:cs="Arial"/>
              </w:rPr>
            </w:pPr>
            <w:r w:rsidRPr="006A6CE3">
              <w:rPr>
                <w:rFonts w:cs="Arial"/>
                <w:bCs/>
                <w:color w:val="000000"/>
              </w:rPr>
              <w:t>Control Approach</w:t>
            </w:r>
          </w:p>
        </w:tc>
      </w:tr>
      <w:tr w:rsidR="00913351" w:rsidRPr="006A6CE3" w:rsidTr="00913351">
        <w:tc>
          <w:tcPr>
            <w:tcW w:w="1036" w:type="pct"/>
          </w:tcPr>
          <w:p w:rsidR="00913351" w:rsidRPr="006A6CE3" w:rsidRDefault="00913351" w:rsidP="00E204D9">
            <w:pPr>
              <w:rPr>
                <w:rFonts w:cs="Arial"/>
              </w:rPr>
            </w:pPr>
            <w:r w:rsidRPr="006A6CE3">
              <w:rPr>
                <w:rFonts w:cs="Arial"/>
              </w:rPr>
              <w:t xml:space="preserve">Accounting classification </w:t>
            </w:r>
          </w:p>
        </w:tc>
        <w:tc>
          <w:tcPr>
            <w:tcW w:w="1511" w:type="pct"/>
          </w:tcPr>
          <w:p w:rsidR="00913351" w:rsidRPr="006A6CE3" w:rsidRDefault="00913351" w:rsidP="00E204D9">
            <w:pPr>
              <w:rPr>
                <w:rFonts w:cs="Arial"/>
              </w:rPr>
            </w:pPr>
            <w:r w:rsidRPr="006A6CE3">
              <w:rPr>
                <w:rFonts w:cs="Arial"/>
              </w:rPr>
              <w:t>Accounting definition</w:t>
            </w:r>
          </w:p>
        </w:tc>
        <w:tc>
          <w:tcPr>
            <w:tcW w:w="771" w:type="pct"/>
            <w:shd w:val="clear" w:color="auto" w:fill="CC6600"/>
          </w:tcPr>
          <w:p w:rsidR="00913351" w:rsidRPr="006A6CE3" w:rsidRDefault="00913351" w:rsidP="00E204D9">
            <w:pPr>
              <w:rPr>
                <w:rFonts w:cs="Arial"/>
                <w:color w:val="FFFFFF"/>
              </w:rPr>
            </w:pPr>
            <w:r w:rsidRPr="006A6CE3">
              <w:rPr>
                <w:rFonts w:cs="Arial"/>
                <w:color w:val="FFFFFF"/>
              </w:rPr>
              <w:t>Equity share approach</w:t>
            </w:r>
          </w:p>
        </w:tc>
        <w:tc>
          <w:tcPr>
            <w:tcW w:w="844" w:type="pct"/>
            <w:shd w:val="clear" w:color="auto" w:fill="929309"/>
          </w:tcPr>
          <w:p w:rsidR="00913351" w:rsidRPr="006A6CE3" w:rsidRDefault="00913351" w:rsidP="00E204D9">
            <w:pPr>
              <w:rPr>
                <w:rFonts w:cs="Arial"/>
                <w:color w:val="FFFFFF"/>
              </w:rPr>
            </w:pPr>
            <w:r w:rsidRPr="006A6CE3">
              <w:rPr>
                <w:rFonts w:cs="Arial"/>
                <w:color w:val="FFFFFF"/>
              </w:rPr>
              <w:t xml:space="preserve">Financial control </w:t>
            </w:r>
          </w:p>
        </w:tc>
        <w:tc>
          <w:tcPr>
            <w:tcW w:w="837" w:type="pct"/>
            <w:shd w:val="clear" w:color="auto" w:fill="000000"/>
          </w:tcPr>
          <w:p w:rsidR="00913351" w:rsidRPr="006A6CE3" w:rsidRDefault="00913351" w:rsidP="00E204D9">
            <w:pPr>
              <w:rPr>
                <w:rFonts w:cs="Arial"/>
              </w:rPr>
            </w:pPr>
            <w:r w:rsidRPr="006A6CE3">
              <w:rPr>
                <w:rFonts w:cs="Arial"/>
              </w:rPr>
              <w:t xml:space="preserve">Operational control </w:t>
            </w:r>
          </w:p>
        </w:tc>
      </w:tr>
      <w:tr w:rsidR="00913351" w:rsidRPr="006A6CE3" w:rsidTr="00913351">
        <w:tc>
          <w:tcPr>
            <w:tcW w:w="1036" w:type="pct"/>
          </w:tcPr>
          <w:p w:rsidR="00913351" w:rsidRPr="006A6CE3" w:rsidRDefault="00913351" w:rsidP="00E8055E">
            <w:pPr>
              <w:rPr>
                <w:rFonts w:cs="Arial"/>
              </w:rPr>
            </w:pPr>
            <w:r w:rsidRPr="00E8055E">
              <w:rPr>
                <w:rFonts w:cs="Arial"/>
                <w:color w:val="000000"/>
              </w:rPr>
              <w:t>Group companies = parent company and subsidiaries</w:t>
            </w:r>
          </w:p>
        </w:tc>
        <w:tc>
          <w:tcPr>
            <w:tcW w:w="1511" w:type="pct"/>
          </w:tcPr>
          <w:p w:rsidR="00913351" w:rsidRPr="006A6CE3" w:rsidRDefault="00913351" w:rsidP="00E204D9">
            <w:pPr>
              <w:rPr>
                <w:rFonts w:cs="Arial"/>
                <w:color w:val="000000"/>
              </w:rPr>
            </w:pPr>
            <w:r w:rsidRPr="006A6CE3">
              <w:rPr>
                <w:rFonts w:cs="Arial"/>
                <w:color w:val="000000"/>
              </w:rPr>
              <w:t xml:space="preserve">The investor controls the operation through its ability to direct the financial and operating policies of the operation with a view to gaining economic benefits.  Typically, the investor holds more than 50% of the voting rights of the operation.  </w:t>
            </w:r>
          </w:p>
          <w:p w:rsidR="00913351" w:rsidRPr="006A6CE3" w:rsidRDefault="00913351" w:rsidP="00E204D9">
            <w:pPr>
              <w:rPr>
                <w:rFonts w:cs="Arial"/>
              </w:rPr>
            </w:pPr>
          </w:p>
        </w:tc>
        <w:tc>
          <w:tcPr>
            <w:tcW w:w="771" w:type="pct"/>
            <w:shd w:val="clear" w:color="auto" w:fill="CC6600"/>
          </w:tcPr>
          <w:p w:rsidR="00913351" w:rsidRPr="006A6CE3" w:rsidRDefault="00913351" w:rsidP="00E204D9">
            <w:pPr>
              <w:rPr>
                <w:rFonts w:cs="Arial"/>
                <w:color w:val="FFFFFF"/>
              </w:rPr>
            </w:pPr>
            <w:r w:rsidRPr="006A6CE3">
              <w:rPr>
                <w:rFonts w:cs="Arial"/>
                <w:color w:val="FFFFFF"/>
              </w:rPr>
              <w:t xml:space="preserve">Equity share of the  impact </w:t>
            </w:r>
          </w:p>
        </w:tc>
        <w:tc>
          <w:tcPr>
            <w:tcW w:w="844" w:type="pct"/>
            <w:shd w:val="clear" w:color="auto" w:fill="929309"/>
          </w:tcPr>
          <w:p w:rsidR="00913351" w:rsidRPr="006A6CE3" w:rsidRDefault="00913351" w:rsidP="00E204D9">
            <w:pPr>
              <w:rPr>
                <w:rFonts w:cs="Arial"/>
                <w:color w:val="FFFFFF"/>
              </w:rPr>
            </w:pPr>
            <w:r w:rsidRPr="006A6CE3">
              <w:rPr>
                <w:rFonts w:cs="Arial"/>
                <w:color w:val="FFFFFF"/>
              </w:rPr>
              <w:t xml:space="preserve">100% of the  impact </w:t>
            </w:r>
          </w:p>
        </w:tc>
        <w:tc>
          <w:tcPr>
            <w:tcW w:w="837" w:type="pct"/>
            <w:shd w:val="clear" w:color="auto" w:fill="000000"/>
          </w:tcPr>
          <w:p w:rsidR="00913351" w:rsidRPr="006A6CE3" w:rsidRDefault="00913351" w:rsidP="00E204D9">
            <w:pPr>
              <w:rPr>
                <w:rFonts w:cs="Arial"/>
                <w:iCs/>
                <w:color w:val="FFFFFF"/>
              </w:rPr>
            </w:pPr>
            <w:r w:rsidRPr="006A6CE3">
              <w:rPr>
                <w:rFonts w:cs="Arial"/>
                <w:iCs/>
                <w:color w:val="FFFFFF"/>
              </w:rPr>
              <w:t xml:space="preserve">100 percent of  the impact if operational control </w:t>
            </w:r>
          </w:p>
          <w:p w:rsidR="00913351" w:rsidRPr="006A6CE3" w:rsidRDefault="00913351" w:rsidP="00E204D9">
            <w:pPr>
              <w:rPr>
                <w:rFonts w:cs="Arial"/>
                <w:color w:val="FFFFFF"/>
              </w:rPr>
            </w:pPr>
          </w:p>
          <w:p w:rsidR="00913351" w:rsidRPr="006A6CE3" w:rsidRDefault="00913351" w:rsidP="00E204D9">
            <w:pPr>
              <w:rPr>
                <w:rFonts w:cs="Arial"/>
                <w:iCs/>
                <w:color w:val="FFFFFF"/>
              </w:rPr>
            </w:pPr>
          </w:p>
          <w:p w:rsidR="00913351" w:rsidRPr="006A6CE3" w:rsidRDefault="00913351" w:rsidP="00E204D9">
            <w:pPr>
              <w:rPr>
                <w:rFonts w:cs="Arial"/>
                <w:color w:val="FFFFFF"/>
              </w:rPr>
            </w:pPr>
          </w:p>
        </w:tc>
      </w:tr>
      <w:tr w:rsidR="00913351" w:rsidRPr="006A6CE3" w:rsidTr="00913351">
        <w:tc>
          <w:tcPr>
            <w:tcW w:w="1036" w:type="pct"/>
          </w:tcPr>
          <w:p w:rsidR="00913351" w:rsidRPr="006A6CE3" w:rsidRDefault="00913351" w:rsidP="00E204D9">
            <w:pPr>
              <w:rPr>
                <w:rFonts w:cs="Arial"/>
              </w:rPr>
            </w:pPr>
            <w:r w:rsidRPr="006A6CE3">
              <w:rPr>
                <w:rFonts w:cs="Arial"/>
                <w:color w:val="000000"/>
              </w:rPr>
              <w:t>Associates</w:t>
            </w:r>
          </w:p>
        </w:tc>
        <w:tc>
          <w:tcPr>
            <w:tcW w:w="1511" w:type="pct"/>
          </w:tcPr>
          <w:p w:rsidR="00913351" w:rsidRPr="006A6CE3" w:rsidRDefault="00913351" w:rsidP="00E204D9">
            <w:pPr>
              <w:rPr>
                <w:rFonts w:cs="Arial"/>
              </w:rPr>
            </w:pPr>
            <w:r w:rsidRPr="006A6CE3">
              <w:rPr>
                <w:rFonts w:cs="Arial"/>
                <w:color w:val="000000"/>
              </w:rPr>
              <w:t xml:space="preserve">The investor has significant influence over the financial and operating policies of the operation but </w:t>
            </w:r>
            <w:r w:rsidRPr="006A6CE3">
              <w:rPr>
                <w:rFonts w:cs="Arial"/>
                <w:color w:val="000000"/>
              </w:rPr>
              <w:lastRenderedPageBreak/>
              <w:t xml:space="preserve">does not have control.  Typically, the investor holds less than 50% of the voting rights of the operation. </w:t>
            </w:r>
          </w:p>
        </w:tc>
        <w:tc>
          <w:tcPr>
            <w:tcW w:w="771" w:type="pct"/>
            <w:shd w:val="clear" w:color="auto" w:fill="CC6600"/>
          </w:tcPr>
          <w:p w:rsidR="00913351" w:rsidRPr="006A6CE3" w:rsidRDefault="00913351" w:rsidP="00E204D9">
            <w:pPr>
              <w:rPr>
                <w:rFonts w:cs="Arial"/>
                <w:color w:val="FFFFFF"/>
              </w:rPr>
            </w:pPr>
            <w:r w:rsidRPr="006A6CE3">
              <w:rPr>
                <w:rFonts w:cs="Arial"/>
                <w:color w:val="FFFFFF"/>
              </w:rPr>
              <w:lastRenderedPageBreak/>
              <w:t xml:space="preserve">Equity share of the impact </w:t>
            </w:r>
          </w:p>
        </w:tc>
        <w:tc>
          <w:tcPr>
            <w:tcW w:w="844" w:type="pct"/>
            <w:shd w:val="clear" w:color="auto" w:fill="929309"/>
          </w:tcPr>
          <w:p w:rsidR="00913351" w:rsidRPr="006A6CE3" w:rsidRDefault="00913351" w:rsidP="00E204D9">
            <w:pPr>
              <w:rPr>
                <w:rFonts w:cs="Arial"/>
                <w:color w:val="FFFFFF"/>
              </w:rPr>
            </w:pPr>
            <w:r w:rsidRPr="006A6CE3">
              <w:rPr>
                <w:rFonts w:cs="Arial"/>
                <w:color w:val="FFFFFF"/>
              </w:rPr>
              <w:t>0% of the impact</w:t>
            </w:r>
          </w:p>
        </w:tc>
        <w:tc>
          <w:tcPr>
            <w:tcW w:w="837" w:type="pct"/>
            <w:shd w:val="clear" w:color="auto" w:fill="000000"/>
          </w:tcPr>
          <w:p w:rsidR="00913351" w:rsidRPr="006A6CE3" w:rsidRDefault="00913351" w:rsidP="00E204D9">
            <w:pPr>
              <w:rPr>
                <w:rFonts w:cs="Arial"/>
                <w:iCs/>
                <w:color w:val="FFFFFF"/>
              </w:rPr>
            </w:pPr>
            <w:r w:rsidRPr="006A6CE3">
              <w:rPr>
                <w:rFonts w:cs="Arial"/>
                <w:iCs/>
                <w:color w:val="FFFFFF"/>
              </w:rPr>
              <w:t xml:space="preserve">100 percent of the impact if operational </w:t>
            </w:r>
            <w:r w:rsidRPr="006A6CE3">
              <w:rPr>
                <w:rFonts w:cs="Arial"/>
                <w:iCs/>
                <w:color w:val="FFFFFF"/>
              </w:rPr>
              <w:lastRenderedPageBreak/>
              <w:t>control</w:t>
            </w:r>
          </w:p>
          <w:p w:rsidR="00913351" w:rsidRPr="006A6CE3" w:rsidRDefault="00913351" w:rsidP="00E204D9">
            <w:pPr>
              <w:rPr>
                <w:rFonts w:cs="Arial"/>
                <w:color w:val="FFFFFF"/>
              </w:rPr>
            </w:pPr>
          </w:p>
          <w:p w:rsidR="00913351" w:rsidRPr="006A6CE3" w:rsidRDefault="00913351" w:rsidP="00E204D9">
            <w:pPr>
              <w:rPr>
                <w:rFonts w:cs="Arial"/>
                <w:iCs/>
                <w:color w:val="FFFFFF"/>
              </w:rPr>
            </w:pPr>
            <w:r w:rsidRPr="006A6CE3">
              <w:rPr>
                <w:rFonts w:cs="Arial"/>
                <w:iCs/>
                <w:color w:val="FFFFFF"/>
              </w:rPr>
              <w:t>0 percent of the impact if no operational control</w:t>
            </w:r>
          </w:p>
          <w:p w:rsidR="00913351" w:rsidRPr="006A6CE3" w:rsidRDefault="00913351" w:rsidP="00E204D9">
            <w:pPr>
              <w:rPr>
                <w:rFonts w:cs="Arial"/>
                <w:color w:val="FFFFFF"/>
              </w:rPr>
            </w:pPr>
          </w:p>
        </w:tc>
      </w:tr>
      <w:tr w:rsidR="00913351" w:rsidRPr="006A6CE3" w:rsidTr="00913351">
        <w:tc>
          <w:tcPr>
            <w:tcW w:w="1036" w:type="pct"/>
          </w:tcPr>
          <w:p w:rsidR="00913351" w:rsidRPr="00C03A02" w:rsidRDefault="00913351" w:rsidP="00E204D9">
            <w:pPr>
              <w:rPr>
                <w:rFonts w:cs="Arial"/>
                <w:color w:val="000000"/>
              </w:rPr>
            </w:pPr>
            <w:r w:rsidRPr="00C03A02">
              <w:rPr>
                <w:rFonts w:cs="Arial"/>
                <w:color w:val="000000"/>
              </w:rPr>
              <w:lastRenderedPageBreak/>
              <w:t>Joint ventures</w:t>
            </w:r>
          </w:p>
        </w:tc>
        <w:tc>
          <w:tcPr>
            <w:tcW w:w="1511" w:type="pct"/>
          </w:tcPr>
          <w:p w:rsidR="00913351" w:rsidRPr="00C03A02" w:rsidRDefault="00913351" w:rsidP="00E204D9">
            <w:pPr>
              <w:rPr>
                <w:rFonts w:cs="Arial"/>
              </w:rPr>
            </w:pPr>
            <w:r w:rsidRPr="00C03A02">
              <w:rPr>
                <w:rFonts w:cs="Arial"/>
                <w:sz w:val="22"/>
              </w:rPr>
              <w:t xml:space="preserve">A joint venture is defined as: </w:t>
            </w:r>
            <w:r w:rsidRPr="00C03A02">
              <w:rPr>
                <w:rFonts w:cs="Arial"/>
                <w:bCs/>
                <w:i/>
                <w:iCs/>
                <w:sz w:val="22"/>
              </w:rPr>
              <w:t>a joint arrangement whereby the parties that have joint control of the arrangement have rights to the net assets of the arrangement</w:t>
            </w:r>
            <w:r w:rsidRPr="00C03A02">
              <w:rPr>
                <w:rFonts w:cs="Arial"/>
                <w:sz w:val="22"/>
              </w:rPr>
              <w:t xml:space="preserve"> </w:t>
            </w:r>
            <w:r w:rsidRPr="00C03A02">
              <w:rPr>
                <w:rStyle w:val="FootnoteReference"/>
                <w:rFonts w:cs="Arial"/>
                <w:sz w:val="22"/>
              </w:rPr>
              <w:footnoteReference w:id="78"/>
            </w:r>
          </w:p>
        </w:tc>
        <w:tc>
          <w:tcPr>
            <w:tcW w:w="771" w:type="pct"/>
            <w:shd w:val="clear" w:color="auto" w:fill="CC6600"/>
          </w:tcPr>
          <w:p w:rsidR="00913351" w:rsidRPr="00C03A02" w:rsidRDefault="00913351" w:rsidP="00E204D9">
            <w:pPr>
              <w:rPr>
                <w:rFonts w:cs="Arial"/>
                <w:color w:val="FFFFFF"/>
              </w:rPr>
            </w:pPr>
            <w:r w:rsidRPr="00C03A02">
              <w:rPr>
                <w:rFonts w:cs="Arial"/>
                <w:color w:val="FFFFFF"/>
              </w:rPr>
              <w:t>Equity share of the impact</w:t>
            </w:r>
          </w:p>
        </w:tc>
        <w:tc>
          <w:tcPr>
            <w:tcW w:w="844" w:type="pct"/>
            <w:shd w:val="clear" w:color="auto" w:fill="929309"/>
          </w:tcPr>
          <w:p w:rsidR="00913351" w:rsidRPr="00C03A02" w:rsidRDefault="00913351" w:rsidP="00E204D9">
            <w:pPr>
              <w:rPr>
                <w:rFonts w:cs="Arial"/>
                <w:color w:val="FFFFFF"/>
              </w:rPr>
            </w:pPr>
            <w:r w:rsidRPr="00C03A02">
              <w:rPr>
                <w:rFonts w:cs="Arial"/>
                <w:color w:val="FFFFFF"/>
              </w:rPr>
              <w:t>Equity share of the impact</w:t>
            </w:r>
          </w:p>
        </w:tc>
        <w:tc>
          <w:tcPr>
            <w:tcW w:w="837" w:type="pct"/>
            <w:shd w:val="clear" w:color="auto" w:fill="000000"/>
          </w:tcPr>
          <w:p w:rsidR="00913351" w:rsidRPr="00C03A02" w:rsidRDefault="00913351" w:rsidP="00E204D9">
            <w:pPr>
              <w:rPr>
                <w:rFonts w:cs="Arial"/>
                <w:iCs/>
                <w:color w:val="FFFFFF"/>
              </w:rPr>
            </w:pPr>
            <w:r w:rsidRPr="00C03A02">
              <w:rPr>
                <w:rFonts w:cs="Arial"/>
                <w:iCs/>
                <w:color w:val="FFFFFF"/>
              </w:rPr>
              <w:t>100 percent of the impact if operational control</w:t>
            </w:r>
          </w:p>
          <w:p w:rsidR="00913351" w:rsidRPr="00C03A02" w:rsidRDefault="00913351" w:rsidP="00E204D9">
            <w:pPr>
              <w:rPr>
                <w:rFonts w:cs="Arial"/>
                <w:color w:val="FFFFFF"/>
              </w:rPr>
            </w:pPr>
          </w:p>
          <w:p w:rsidR="00913351" w:rsidRPr="00C03A02" w:rsidRDefault="00913351" w:rsidP="00E204D9">
            <w:pPr>
              <w:rPr>
                <w:rFonts w:cs="Arial"/>
                <w:color w:val="FFFFFF"/>
              </w:rPr>
            </w:pPr>
            <w:r w:rsidRPr="00C03A02">
              <w:rPr>
                <w:rFonts w:cs="Arial"/>
                <w:iCs/>
                <w:color w:val="FFFFFF"/>
              </w:rPr>
              <w:t>0 percent of the impact if no operational control</w:t>
            </w:r>
          </w:p>
        </w:tc>
      </w:tr>
      <w:tr w:rsidR="00913351" w:rsidRPr="006A6CE3" w:rsidTr="00913351">
        <w:tc>
          <w:tcPr>
            <w:tcW w:w="1036" w:type="pct"/>
          </w:tcPr>
          <w:p w:rsidR="00913351" w:rsidRPr="00C03A02" w:rsidRDefault="00913351" w:rsidP="00E204D9">
            <w:pPr>
              <w:rPr>
                <w:rFonts w:cs="Arial"/>
                <w:color w:val="000000"/>
              </w:rPr>
            </w:pPr>
            <w:r w:rsidRPr="00C03A02">
              <w:rPr>
                <w:rFonts w:cs="Arial"/>
                <w:color w:val="000000"/>
              </w:rPr>
              <w:t>Joint operations</w:t>
            </w:r>
          </w:p>
        </w:tc>
        <w:tc>
          <w:tcPr>
            <w:tcW w:w="1511" w:type="pct"/>
          </w:tcPr>
          <w:p w:rsidR="00913351" w:rsidRPr="00C03A02" w:rsidRDefault="00913351" w:rsidP="00E204D9">
            <w:pPr>
              <w:rPr>
                <w:rFonts w:cs="Arial"/>
              </w:rPr>
            </w:pPr>
            <w:r w:rsidRPr="00C03A02">
              <w:rPr>
                <w:rFonts w:cs="Arial"/>
                <w:sz w:val="22"/>
              </w:rPr>
              <w:t xml:space="preserve">A joint operation is defined as: </w:t>
            </w:r>
            <w:r w:rsidRPr="00C03A02">
              <w:rPr>
                <w:rFonts w:cs="Arial"/>
                <w:bCs/>
                <w:i/>
                <w:iCs/>
                <w:sz w:val="22"/>
              </w:rPr>
              <w:t>a joint arrangement whereby the parties that have joint control of the arrangement have rights to the assets, and obligations for the liabilities, relating to the arrangement</w:t>
            </w:r>
            <w:r w:rsidRPr="00C03A02">
              <w:rPr>
                <w:rStyle w:val="FootnoteReference"/>
                <w:rFonts w:cs="Arial"/>
                <w:bCs/>
                <w:i/>
                <w:iCs/>
                <w:sz w:val="22"/>
              </w:rPr>
              <w:footnoteReference w:id="79"/>
            </w:r>
            <w:r w:rsidRPr="00C03A02">
              <w:rPr>
                <w:rFonts w:cs="Arial"/>
                <w:bCs/>
                <w:i/>
                <w:iCs/>
                <w:sz w:val="22"/>
              </w:rPr>
              <w:t>.</w:t>
            </w:r>
          </w:p>
        </w:tc>
        <w:tc>
          <w:tcPr>
            <w:tcW w:w="771" w:type="pct"/>
            <w:shd w:val="clear" w:color="auto" w:fill="CC6600"/>
          </w:tcPr>
          <w:p w:rsidR="00913351" w:rsidRPr="00C03A02" w:rsidRDefault="00913351" w:rsidP="00E204D9">
            <w:pPr>
              <w:rPr>
                <w:rFonts w:cs="Arial"/>
                <w:color w:val="FFFFFF"/>
              </w:rPr>
            </w:pPr>
            <w:r w:rsidRPr="00C03A02">
              <w:rPr>
                <w:rFonts w:cs="Arial"/>
                <w:color w:val="FFFFFF"/>
              </w:rPr>
              <w:t>Equity share of the impact</w:t>
            </w:r>
          </w:p>
        </w:tc>
        <w:tc>
          <w:tcPr>
            <w:tcW w:w="844" w:type="pct"/>
            <w:shd w:val="clear" w:color="auto" w:fill="929309"/>
          </w:tcPr>
          <w:p w:rsidR="00913351" w:rsidRPr="00C03A02" w:rsidRDefault="00913351" w:rsidP="00E204D9">
            <w:pPr>
              <w:rPr>
                <w:rFonts w:cs="Arial"/>
                <w:color w:val="FFFFFF"/>
              </w:rPr>
            </w:pPr>
            <w:r w:rsidRPr="00C03A02">
              <w:rPr>
                <w:rFonts w:cs="Arial"/>
                <w:color w:val="FFFFFF"/>
              </w:rPr>
              <w:t>Equity share of the impact</w:t>
            </w:r>
          </w:p>
        </w:tc>
        <w:tc>
          <w:tcPr>
            <w:tcW w:w="837" w:type="pct"/>
            <w:shd w:val="clear" w:color="auto" w:fill="000000"/>
          </w:tcPr>
          <w:p w:rsidR="00913351" w:rsidRPr="00C03A02" w:rsidRDefault="00913351" w:rsidP="00E204D9">
            <w:pPr>
              <w:rPr>
                <w:rFonts w:cs="Arial"/>
                <w:iCs/>
                <w:color w:val="FFFFFF"/>
              </w:rPr>
            </w:pPr>
            <w:r w:rsidRPr="00C03A02">
              <w:rPr>
                <w:rFonts w:cs="Arial"/>
                <w:iCs/>
                <w:color w:val="FFFFFF"/>
              </w:rPr>
              <w:t xml:space="preserve">100 percent of the impact if operational control </w:t>
            </w:r>
          </w:p>
          <w:p w:rsidR="00913351" w:rsidRPr="00C03A02" w:rsidRDefault="00913351" w:rsidP="00E204D9">
            <w:pPr>
              <w:rPr>
                <w:rFonts w:cs="Arial"/>
                <w:color w:val="FFFFFF"/>
              </w:rPr>
            </w:pPr>
          </w:p>
          <w:p w:rsidR="00913351" w:rsidRPr="00C03A02" w:rsidRDefault="00913351" w:rsidP="00E204D9">
            <w:pPr>
              <w:rPr>
                <w:rFonts w:cs="Arial"/>
                <w:color w:val="FFFFFF"/>
              </w:rPr>
            </w:pPr>
            <w:r w:rsidRPr="00C03A02">
              <w:rPr>
                <w:rFonts w:cs="Arial"/>
                <w:iCs/>
                <w:color w:val="FFFFFF"/>
              </w:rPr>
              <w:t xml:space="preserve">0 percent of the impact if no operational </w:t>
            </w:r>
            <w:r w:rsidRPr="00C03A02">
              <w:rPr>
                <w:rFonts w:cs="Arial"/>
                <w:iCs/>
                <w:color w:val="FFFFFF"/>
              </w:rPr>
              <w:lastRenderedPageBreak/>
              <w:t>control</w:t>
            </w:r>
          </w:p>
        </w:tc>
      </w:tr>
      <w:tr w:rsidR="00913351" w:rsidRPr="006A6CE3" w:rsidTr="00913351">
        <w:tc>
          <w:tcPr>
            <w:tcW w:w="1036" w:type="pct"/>
          </w:tcPr>
          <w:p w:rsidR="00913351" w:rsidRPr="006A6CE3" w:rsidRDefault="00913351" w:rsidP="00E204D9">
            <w:pPr>
              <w:rPr>
                <w:rFonts w:cs="Arial"/>
              </w:rPr>
            </w:pPr>
            <w:r w:rsidRPr="006A6CE3">
              <w:rPr>
                <w:rFonts w:cs="Arial"/>
                <w:color w:val="000000"/>
              </w:rPr>
              <w:lastRenderedPageBreak/>
              <w:t xml:space="preserve"> Other equity investments</w:t>
            </w:r>
          </w:p>
        </w:tc>
        <w:tc>
          <w:tcPr>
            <w:tcW w:w="1511" w:type="pct"/>
          </w:tcPr>
          <w:p w:rsidR="00913351" w:rsidRPr="006A6CE3" w:rsidRDefault="00913351" w:rsidP="00E204D9">
            <w:pPr>
              <w:rPr>
                <w:rFonts w:cs="Arial"/>
              </w:rPr>
            </w:pPr>
            <w:r w:rsidRPr="006A6CE3">
              <w:rPr>
                <w:rFonts w:cs="Arial"/>
              </w:rPr>
              <w:t>The investor does not have control, joint control or significant influence over the operation.</w:t>
            </w:r>
          </w:p>
          <w:p w:rsidR="00913351" w:rsidRPr="006A6CE3" w:rsidRDefault="00913351" w:rsidP="00E204D9">
            <w:pPr>
              <w:rPr>
                <w:rFonts w:cs="Arial"/>
              </w:rPr>
            </w:pPr>
          </w:p>
        </w:tc>
        <w:tc>
          <w:tcPr>
            <w:tcW w:w="771" w:type="pct"/>
            <w:shd w:val="clear" w:color="auto" w:fill="CC6600"/>
          </w:tcPr>
          <w:p w:rsidR="00913351" w:rsidRPr="006A6CE3" w:rsidRDefault="00913351" w:rsidP="00E204D9">
            <w:pPr>
              <w:rPr>
                <w:rFonts w:cs="Arial"/>
                <w:color w:val="FFFFFF"/>
              </w:rPr>
            </w:pPr>
            <w:r w:rsidRPr="006A6CE3">
              <w:rPr>
                <w:rFonts w:cs="Arial"/>
                <w:color w:val="FFFFFF"/>
              </w:rPr>
              <w:t xml:space="preserve">0% of the impact </w:t>
            </w:r>
          </w:p>
        </w:tc>
        <w:tc>
          <w:tcPr>
            <w:tcW w:w="844" w:type="pct"/>
            <w:shd w:val="clear" w:color="auto" w:fill="929309"/>
          </w:tcPr>
          <w:p w:rsidR="00913351" w:rsidRPr="006A6CE3" w:rsidRDefault="00913351" w:rsidP="00E204D9">
            <w:pPr>
              <w:rPr>
                <w:rFonts w:cs="Arial"/>
                <w:color w:val="FFFFFF"/>
              </w:rPr>
            </w:pPr>
            <w:r w:rsidRPr="006A6CE3">
              <w:rPr>
                <w:rFonts w:cs="Arial"/>
                <w:color w:val="FFFFFF"/>
              </w:rPr>
              <w:t xml:space="preserve">0% of the impact </w:t>
            </w:r>
          </w:p>
        </w:tc>
        <w:tc>
          <w:tcPr>
            <w:tcW w:w="837" w:type="pct"/>
            <w:shd w:val="clear" w:color="auto" w:fill="000000"/>
          </w:tcPr>
          <w:p w:rsidR="00913351" w:rsidRPr="006A6CE3" w:rsidRDefault="00913351" w:rsidP="00E204D9">
            <w:pPr>
              <w:rPr>
                <w:rFonts w:cs="Arial"/>
                <w:color w:val="FFFFFF"/>
              </w:rPr>
            </w:pPr>
            <w:r w:rsidRPr="006A6CE3">
              <w:rPr>
                <w:rFonts w:cs="Arial"/>
                <w:color w:val="FFFFFF"/>
              </w:rPr>
              <w:t xml:space="preserve">0% of the impact </w:t>
            </w:r>
          </w:p>
        </w:tc>
      </w:tr>
      <w:tr w:rsidR="00913351" w:rsidRPr="006A6CE3" w:rsidTr="00913351">
        <w:tc>
          <w:tcPr>
            <w:tcW w:w="1036" w:type="pct"/>
          </w:tcPr>
          <w:p w:rsidR="00913351" w:rsidRPr="006A6CE3" w:rsidRDefault="00913351" w:rsidP="00E204D9">
            <w:pPr>
              <w:rPr>
                <w:rFonts w:cs="Arial"/>
                <w:color w:val="000000"/>
              </w:rPr>
            </w:pPr>
            <w:r w:rsidRPr="006A6CE3">
              <w:rPr>
                <w:rFonts w:cs="Arial"/>
                <w:color w:val="000000"/>
              </w:rPr>
              <w:t>Franchises</w:t>
            </w:r>
          </w:p>
        </w:tc>
        <w:tc>
          <w:tcPr>
            <w:tcW w:w="1511" w:type="pct"/>
          </w:tcPr>
          <w:p w:rsidR="00913351" w:rsidRPr="006A6CE3" w:rsidRDefault="00913351" w:rsidP="00E204D9">
            <w:pPr>
              <w:rPr>
                <w:rFonts w:cs="Arial"/>
                <w:color w:val="000000"/>
              </w:rPr>
            </w:pPr>
            <w:r w:rsidRPr="006A6CE3">
              <w:rPr>
                <w:rFonts w:cs="Arial"/>
              </w:rPr>
              <w:t xml:space="preserve">A franchise is a separate legal entity usually not under the financial or operational control of the franchiser, and which gives the franchise holder rights to sell a product or service.  Where the franchiser holds an equity interest in the franchise, the treatments described above will apply. </w:t>
            </w:r>
          </w:p>
        </w:tc>
        <w:tc>
          <w:tcPr>
            <w:tcW w:w="771" w:type="pct"/>
            <w:shd w:val="clear" w:color="auto" w:fill="CC6600"/>
          </w:tcPr>
          <w:p w:rsidR="00913351" w:rsidRPr="006A6CE3" w:rsidRDefault="00913351" w:rsidP="00E204D9">
            <w:pPr>
              <w:rPr>
                <w:rFonts w:cs="Arial"/>
                <w:color w:val="FFFFFF"/>
              </w:rPr>
            </w:pPr>
          </w:p>
          <w:p w:rsidR="00913351" w:rsidRPr="006A6CE3" w:rsidRDefault="00913351" w:rsidP="00E204D9">
            <w:pPr>
              <w:rPr>
                <w:rFonts w:cs="Arial"/>
                <w:color w:val="FFFFFF"/>
              </w:rPr>
            </w:pPr>
            <w:r w:rsidRPr="006A6CE3">
              <w:rPr>
                <w:rFonts w:cs="Arial"/>
                <w:color w:val="FFFFFF"/>
              </w:rPr>
              <w:t>0% of the</w:t>
            </w:r>
            <w:r w:rsidR="009C72E8">
              <w:rPr>
                <w:rFonts w:cs="Arial"/>
                <w:color w:val="FFFFFF"/>
              </w:rPr>
              <w:t xml:space="preserve"> </w:t>
            </w:r>
            <w:r w:rsidRPr="006A6CE3">
              <w:rPr>
                <w:rFonts w:cs="Arial"/>
                <w:color w:val="FFFFFF"/>
              </w:rPr>
              <w:t>impact , unless the franchiser holds an equity interest</w:t>
            </w:r>
          </w:p>
        </w:tc>
        <w:tc>
          <w:tcPr>
            <w:tcW w:w="844" w:type="pct"/>
            <w:shd w:val="clear" w:color="auto" w:fill="929309"/>
          </w:tcPr>
          <w:p w:rsidR="00913351" w:rsidRPr="006A6CE3" w:rsidRDefault="00913351" w:rsidP="00E204D9">
            <w:pPr>
              <w:rPr>
                <w:rFonts w:cs="Arial"/>
                <w:color w:val="FFFFFF"/>
              </w:rPr>
            </w:pPr>
          </w:p>
          <w:p w:rsidR="00913351" w:rsidRPr="006A6CE3" w:rsidRDefault="00913351" w:rsidP="00E204D9">
            <w:pPr>
              <w:rPr>
                <w:rFonts w:cs="Arial"/>
                <w:color w:val="FFFFFF"/>
              </w:rPr>
            </w:pPr>
            <w:r w:rsidRPr="006A6CE3">
              <w:rPr>
                <w:rFonts w:cs="Arial"/>
                <w:color w:val="FFFFFF"/>
              </w:rPr>
              <w:t xml:space="preserve"> 0% of the impact  unless the franchiser holds a controlling equity interest</w:t>
            </w:r>
          </w:p>
        </w:tc>
        <w:tc>
          <w:tcPr>
            <w:tcW w:w="837" w:type="pct"/>
            <w:shd w:val="clear" w:color="auto" w:fill="000000"/>
          </w:tcPr>
          <w:p w:rsidR="00913351" w:rsidRPr="006A6CE3" w:rsidRDefault="00913351" w:rsidP="00E204D9">
            <w:pPr>
              <w:rPr>
                <w:rFonts w:cs="Arial"/>
              </w:rPr>
            </w:pPr>
            <w:r w:rsidRPr="006A6CE3">
              <w:rPr>
                <w:rFonts w:cs="Arial"/>
              </w:rPr>
              <w:t>100% share of the impact  if the franchiser has operational control</w:t>
            </w:r>
          </w:p>
          <w:p w:rsidR="00913351" w:rsidRPr="006A6CE3" w:rsidRDefault="00913351" w:rsidP="00E204D9">
            <w:pPr>
              <w:rPr>
                <w:rFonts w:cs="Arial"/>
              </w:rPr>
            </w:pPr>
          </w:p>
          <w:p w:rsidR="00913351" w:rsidRPr="006A6CE3" w:rsidRDefault="00913351" w:rsidP="00E204D9">
            <w:pPr>
              <w:rPr>
                <w:rFonts w:cs="Arial"/>
              </w:rPr>
            </w:pPr>
            <w:r w:rsidRPr="006A6CE3">
              <w:rPr>
                <w:rFonts w:cs="Arial"/>
              </w:rPr>
              <w:t>0% of the impact  if the franchiser does not have operational control</w:t>
            </w:r>
          </w:p>
          <w:p w:rsidR="00913351" w:rsidRPr="006A6CE3" w:rsidRDefault="00913351" w:rsidP="00E204D9">
            <w:pPr>
              <w:rPr>
                <w:rFonts w:cs="Arial"/>
              </w:rPr>
            </w:pPr>
          </w:p>
        </w:tc>
      </w:tr>
    </w:tbl>
    <w:p w:rsidR="00913351" w:rsidRPr="006A6CE3" w:rsidRDefault="00913351" w:rsidP="00E204D9">
      <w:pPr>
        <w:rPr>
          <w:rFonts w:cs="Arial"/>
        </w:rPr>
      </w:pPr>
    </w:p>
    <w:p w:rsidR="00913351" w:rsidRPr="006A6CE3" w:rsidRDefault="00913351" w:rsidP="00E204D9">
      <w:pPr>
        <w:pStyle w:val="Heading4"/>
        <w:rPr>
          <w:rFonts w:cs="Arial"/>
          <w:i w:val="0"/>
          <w:color w:val="76923C"/>
          <w:sz w:val="28"/>
          <w:szCs w:val="28"/>
        </w:rPr>
      </w:pPr>
      <w:r w:rsidRPr="006A6CE3">
        <w:rPr>
          <w:rFonts w:cs="Arial"/>
          <w:i w:val="0"/>
          <w:color w:val="76923C"/>
          <w:sz w:val="28"/>
          <w:szCs w:val="28"/>
        </w:rPr>
        <w:t>Leases</w:t>
      </w:r>
    </w:p>
    <w:p w:rsidR="00913351" w:rsidRPr="006A6CE3" w:rsidRDefault="00913351" w:rsidP="00E204D9">
      <w:pPr>
        <w:rPr>
          <w:rFonts w:cs="Arial"/>
        </w:rPr>
      </w:pPr>
      <w:r w:rsidRPr="006A6CE3">
        <w:rPr>
          <w:rFonts w:cs="Arial"/>
        </w:rPr>
        <w:t xml:space="preserve">If you own leased assets you should follow the same consolidation approach for including the environmental impacts from the leased assets as you have used for your organisational boundary.  However you will need to know what type of lease applies to your assets.   See the </w:t>
      </w:r>
      <w:hyperlink r:id="rId71" w:history="1">
        <w:r w:rsidRPr="006A6CE3">
          <w:rPr>
            <w:rFonts w:cs="Arial"/>
            <w:color w:val="002060"/>
            <w:u w:val="single"/>
          </w:rPr>
          <w:t>GHG Protocol’s leased assets document</w:t>
        </w:r>
        <w:r w:rsidRPr="006A6CE3">
          <w:rPr>
            <w:rFonts w:cs="Arial"/>
          </w:rPr>
          <w:t xml:space="preserve"> for more information.</w:t>
        </w:r>
      </w:hyperlink>
    </w:p>
    <w:p w:rsidR="00913351" w:rsidRPr="006A6CE3" w:rsidRDefault="00913351" w:rsidP="00E204D9">
      <w:pPr>
        <w:rPr>
          <w:rFonts w:cs="Arial"/>
        </w:rPr>
        <w:sectPr w:rsidR="00913351" w:rsidRPr="006A6CE3" w:rsidSect="00AD1792">
          <w:footerReference w:type="default" r:id="rId72"/>
          <w:pgSz w:w="11906" w:h="16838" w:code="9"/>
          <w:pgMar w:top="1440" w:right="1797" w:bottom="284" w:left="1797" w:header="709" w:footer="709" w:gutter="0"/>
          <w:pgBorders w:offsetFrom="page">
            <w:top w:val="single" w:sz="4" w:space="24" w:color="auto"/>
          </w:pgBorders>
          <w:pgNumType w:start="1"/>
          <w:cols w:space="708"/>
          <w:docGrid w:linePitch="360"/>
        </w:sectPr>
      </w:pPr>
    </w:p>
    <w:p w:rsidR="00913351" w:rsidRPr="006A6CE3" w:rsidRDefault="00913351" w:rsidP="00EA5B43">
      <w:pPr>
        <w:pStyle w:val="Heading2"/>
      </w:pPr>
      <w:bookmarkStart w:id="288" w:name="_Annex_B:_Process"/>
      <w:bookmarkStart w:id="289" w:name="_Toc358054594"/>
      <w:bookmarkStart w:id="290" w:name="_Toc358060234"/>
      <w:bookmarkStart w:id="291" w:name="_Toc358302307"/>
      <w:bookmarkStart w:id="292" w:name="_Toc380763587"/>
      <w:bookmarkEnd w:id="288"/>
      <w:r w:rsidRPr="006A6CE3">
        <w:lastRenderedPageBreak/>
        <w:t>Annex B: Process Emissions</w:t>
      </w:r>
      <w:bookmarkEnd w:id="289"/>
      <w:bookmarkEnd w:id="290"/>
      <w:bookmarkEnd w:id="291"/>
      <w:bookmarkEnd w:id="292"/>
    </w:p>
    <w:tbl>
      <w:tblPr>
        <w:tblW w:w="8085" w:type="dxa"/>
        <w:tblInd w:w="103" w:type="dxa"/>
        <w:tblLook w:val="04A0" w:firstRow="1" w:lastRow="0" w:firstColumn="1" w:lastColumn="0" w:noHBand="0" w:noVBand="1"/>
      </w:tblPr>
      <w:tblGrid>
        <w:gridCol w:w="1349"/>
        <w:gridCol w:w="3111"/>
        <w:gridCol w:w="659"/>
        <w:gridCol w:w="646"/>
        <w:gridCol w:w="659"/>
        <w:gridCol w:w="690"/>
        <w:gridCol w:w="607"/>
        <w:gridCol w:w="704"/>
      </w:tblGrid>
      <w:tr w:rsidR="00913351" w:rsidRPr="006A6CE3" w:rsidTr="00913351">
        <w:trPr>
          <w:trHeight w:val="293"/>
        </w:trPr>
        <w:tc>
          <w:tcPr>
            <w:tcW w:w="8085" w:type="dxa"/>
            <w:gridSpan w:val="8"/>
            <w:vMerge w:val="restart"/>
            <w:tcBorders>
              <w:top w:val="nil"/>
              <w:left w:val="nil"/>
              <w:bottom w:val="nil"/>
              <w:right w:val="nil"/>
            </w:tcBorders>
            <w:shd w:val="clear" w:color="000000" w:fill="FFFFFF"/>
            <w:hideMark/>
          </w:tcPr>
          <w:p w:rsidR="00913351" w:rsidRPr="006A6CE3" w:rsidRDefault="00913351" w:rsidP="00FB554B">
            <w:pPr>
              <w:rPr>
                <w:rFonts w:cs="Arial"/>
                <w:lang w:eastAsia="en-GB"/>
              </w:rPr>
            </w:pPr>
            <w:r w:rsidRPr="006A6CE3">
              <w:rPr>
                <w:rFonts w:cs="Arial"/>
                <w:lang w:eastAsia="en-GB"/>
              </w:rPr>
              <w:t xml:space="preserve">The table below enables you to identify which of these GHGs your organisation is likely to emit. The dark areas represent the gases that are likely to be </w:t>
            </w:r>
            <w:proofErr w:type="gramStart"/>
            <w:r w:rsidRPr="006A6CE3">
              <w:rPr>
                <w:rFonts w:cs="Arial"/>
                <w:lang w:eastAsia="en-GB"/>
              </w:rPr>
              <w:t>produced/emitted</w:t>
            </w:r>
            <w:proofErr w:type="gramEnd"/>
            <w:r w:rsidRPr="006A6CE3">
              <w:rPr>
                <w:rFonts w:cs="Arial"/>
                <w:lang w:eastAsia="en-GB"/>
              </w:rPr>
              <w:t xml:space="preserve">. The processes are those typically </w:t>
            </w:r>
            <w:r w:rsidR="00FB554B" w:rsidRPr="006A6CE3">
              <w:rPr>
                <w:rFonts w:cs="Arial"/>
                <w:lang w:eastAsia="en-GB"/>
              </w:rPr>
              <w:t>used in</w:t>
            </w:r>
            <w:r w:rsidRPr="006A6CE3">
              <w:rPr>
                <w:rFonts w:cs="Arial"/>
                <w:lang w:eastAsia="en-GB"/>
              </w:rPr>
              <w:t xml:space="preserve"> the UK. Process emissions might be slightly different for processes in other countries.</w:t>
            </w:r>
          </w:p>
          <w:p w:rsidR="00913351" w:rsidRPr="006A6CE3" w:rsidRDefault="00913351" w:rsidP="00E204D9">
            <w:pPr>
              <w:pStyle w:val="NoSpacing"/>
              <w:rPr>
                <w:rFonts w:ascii="Arial" w:hAnsi="Arial" w:cs="Arial"/>
                <w:sz w:val="24"/>
                <w:lang w:eastAsia="en-GB"/>
              </w:rPr>
            </w:pPr>
          </w:p>
        </w:tc>
      </w:tr>
      <w:tr w:rsidR="00913351" w:rsidRPr="006A6CE3" w:rsidTr="00913351">
        <w:trPr>
          <w:trHeight w:val="293"/>
        </w:trPr>
        <w:tc>
          <w:tcPr>
            <w:tcW w:w="8085" w:type="dxa"/>
            <w:gridSpan w:val="8"/>
            <w:vMerge/>
            <w:tcBorders>
              <w:top w:val="nil"/>
              <w:left w:val="nil"/>
              <w:bottom w:val="nil"/>
              <w:right w:val="nil"/>
            </w:tcBorders>
            <w:vAlign w:val="center"/>
            <w:hideMark/>
          </w:tcPr>
          <w:p w:rsidR="00913351" w:rsidRPr="006A6CE3" w:rsidRDefault="00913351" w:rsidP="00E204D9">
            <w:pPr>
              <w:pStyle w:val="NoSpacing"/>
              <w:rPr>
                <w:rFonts w:ascii="Arial" w:hAnsi="Arial" w:cs="Arial"/>
                <w:sz w:val="24"/>
                <w:lang w:eastAsia="en-GB"/>
              </w:rPr>
            </w:pPr>
          </w:p>
        </w:tc>
      </w:tr>
      <w:tr w:rsidR="00913351" w:rsidRPr="006A6CE3" w:rsidTr="00913351">
        <w:trPr>
          <w:trHeight w:val="293"/>
        </w:trPr>
        <w:tc>
          <w:tcPr>
            <w:tcW w:w="8085" w:type="dxa"/>
            <w:gridSpan w:val="8"/>
            <w:vMerge/>
            <w:tcBorders>
              <w:top w:val="nil"/>
              <w:left w:val="nil"/>
              <w:bottom w:val="nil"/>
              <w:right w:val="nil"/>
            </w:tcBorders>
            <w:vAlign w:val="center"/>
            <w:hideMark/>
          </w:tcPr>
          <w:p w:rsidR="00913351" w:rsidRPr="006A6CE3" w:rsidRDefault="00913351" w:rsidP="00E204D9">
            <w:pPr>
              <w:pStyle w:val="NoSpacing"/>
              <w:rPr>
                <w:rFonts w:ascii="Arial" w:hAnsi="Arial" w:cs="Arial"/>
                <w:sz w:val="24"/>
                <w:lang w:eastAsia="en-GB"/>
              </w:rPr>
            </w:pPr>
          </w:p>
        </w:tc>
      </w:tr>
      <w:tr w:rsidR="00913351" w:rsidRPr="006A6CE3" w:rsidTr="00913351">
        <w:trPr>
          <w:trHeight w:val="293"/>
        </w:trPr>
        <w:tc>
          <w:tcPr>
            <w:tcW w:w="8085" w:type="dxa"/>
            <w:gridSpan w:val="8"/>
            <w:vMerge/>
            <w:tcBorders>
              <w:top w:val="nil"/>
              <w:left w:val="nil"/>
              <w:bottom w:val="nil"/>
              <w:right w:val="nil"/>
            </w:tcBorders>
            <w:vAlign w:val="center"/>
            <w:hideMark/>
          </w:tcPr>
          <w:p w:rsidR="00913351" w:rsidRPr="006A6CE3" w:rsidRDefault="00913351" w:rsidP="00E204D9">
            <w:pPr>
              <w:pStyle w:val="NoSpacing"/>
              <w:rPr>
                <w:rFonts w:ascii="Arial" w:hAnsi="Arial" w:cs="Arial"/>
                <w:sz w:val="24"/>
                <w:lang w:eastAsia="en-GB"/>
              </w:rPr>
            </w:pPr>
          </w:p>
        </w:tc>
      </w:tr>
      <w:tr w:rsidR="00913351" w:rsidRPr="006A6CE3" w:rsidTr="00913351">
        <w:trPr>
          <w:trHeight w:val="293"/>
        </w:trPr>
        <w:tc>
          <w:tcPr>
            <w:tcW w:w="8085" w:type="dxa"/>
            <w:gridSpan w:val="8"/>
            <w:tcBorders>
              <w:top w:val="nil"/>
              <w:left w:val="nil"/>
              <w:bottom w:val="nil"/>
              <w:right w:val="nil"/>
            </w:tcBorders>
            <w:shd w:val="clear" w:color="000000" w:fill="000000"/>
            <w:vAlign w:val="center"/>
            <w:hideMark/>
          </w:tcPr>
          <w:p w:rsidR="00913351" w:rsidRPr="006A6CE3" w:rsidRDefault="00913351" w:rsidP="00E204D9">
            <w:pPr>
              <w:pStyle w:val="NoSpacing"/>
              <w:rPr>
                <w:rFonts w:ascii="Arial" w:hAnsi="Arial" w:cs="Arial"/>
                <w:b/>
                <w:bCs/>
                <w:color w:val="FFFFFF"/>
                <w:sz w:val="24"/>
                <w:lang w:eastAsia="en-GB"/>
              </w:rPr>
            </w:pPr>
            <w:r w:rsidRPr="006A6CE3">
              <w:rPr>
                <w:rFonts w:ascii="Arial" w:hAnsi="Arial" w:cs="Arial"/>
                <w:b/>
                <w:bCs/>
                <w:color w:val="FFFFFF"/>
                <w:sz w:val="24"/>
                <w:lang w:eastAsia="en-GB"/>
              </w:rPr>
              <w:t>Process related emissions</w:t>
            </w:r>
            <w:r w:rsidRPr="006A6CE3">
              <w:rPr>
                <w:rFonts w:ascii="Arial" w:hAnsi="Arial" w:cs="Arial"/>
                <w:b/>
                <w:bCs/>
                <w:color w:val="FFFFFF"/>
                <w:sz w:val="24"/>
                <w:vertAlign w:val="superscript"/>
                <w:lang w:eastAsia="en-GB"/>
              </w:rPr>
              <w:t xml:space="preserve"> 1</w:t>
            </w:r>
          </w:p>
        </w:tc>
      </w:tr>
      <w:tr w:rsidR="00913351" w:rsidRPr="006A6CE3" w:rsidTr="00913351">
        <w:trPr>
          <w:trHeight w:val="255"/>
        </w:trPr>
        <w:tc>
          <w:tcPr>
            <w:tcW w:w="4513" w:type="dxa"/>
            <w:gridSpan w:val="2"/>
            <w:vMerge w:val="restart"/>
            <w:tcBorders>
              <w:top w:val="single" w:sz="4" w:space="0" w:color="auto"/>
              <w:left w:val="single" w:sz="4" w:space="0" w:color="auto"/>
              <w:bottom w:val="single" w:sz="4" w:space="0" w:color="auto"/>
              <w:right w:val="single" w:sz="4" w:space="0" w:color="auto"/>
            </w:tcBorders>
            <w:shd w:val="clear" w:color="800000" w:fill="808080"/>
            <w:noWrap/>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Process</w:t>
            </w:r>
          </w:p>
        </w:tc>
        <w:tc>
          <w:tcPr>
            <w:tcW w:w="3572" w:type="dxa"/>
            <w:gridSpan w:val="6"/>
            <w:tcBorders>
              <w:top w:val="single" w:sz="4" w:space="0" w:color="auto"/>
              <w:left w:val="nil"/>
              <w:bottom w:val="single" w:sz="4" w:space="0" w:color="auto"/>
              <w:right w:val="single" w:sz="4" w:space="0" w:color="auto"/>
            </w:tcBorders>
            <w:shd w:val="clear" w:color="800000" w:fill="808080"/>
            <w:noWrap/>
            <w:vAlign w:val="bottom"/>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Emission</w:t>
            </w:r>
          </w:p>
        </w:tc>
      </w:tr>
      <w:tr w:rsidR="00913351" w:rsidRPr="006A6CE3" w:rsidTr="00913351">
        <w:trPr>
          <w:trHeight w:val="315"/>
        </w:trPr>
        <w:tc>
          <w:tcPr>
            <w:tcW w:w="4513" w:type="dxa"/>
            <w:gridSpan w:val="2"/>
            <w:vMerge/>
            <w:tcBorders>
              <w:top w:val="single" w:sz="4" w:space="0" w:color="auto"/>
              <w:left w:val="single" w:sz="4" w:space="0" w:color="auto"/>
              <w:bottom w:val="single" w:sz="4" w:space="0" w:color="auto"/>
              <w:right w:val="single" w:sz="4" w:space="0" w:color="auto"/>
            </w:tcBorders>
            <w:vAlign w:val="center"/>
            <w:hideMark/>
          </w:tcPr>
          <w:p w:rsidR="00913351" w:rsidRPr="006A6CE3" w:rsidRDefault="00913351" w:rsidP="00E204D9">
            <w:pPr>
              <w:pStyle w:val="NoSpacing"/>
              <w:rPr>
                <w:rFonts w:ascii="Arial" w:hAnsi="Arial" w:cs="Arial"/>
                <w:sz w:val="24"/>
                <w:lang w:eastAsia="en-GB"/>
              </w:rPr>
            </w:pPr>
          </w:p>
        </w:tc>
        <w:tc>
          <w:tcPr>
            <w:tcW w:w="589" w:type="dxa"/>
            <w:tcBorders>
              <w:top w:val="nil"/>
              <w:left w:val="nil"/>
              <w:bottom w:val="single" w:sz="4" w:space="0" w:color="auto"/>
              <w:right w:val="single" w:sz="4" w:space="0" w:color="auto"/>
            </w:tcBorders>
            <w:shd w:val="clear" w:color="800000" w:fill="808080"/>
            <w:noWrap/>
            <w:vAlign w:val="bottom"/>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CO</w:t>
            </w:r>
            <w:r w:rsidRPr="006A6CE3">
              <w:rPr>
                <w:rFonts w:ascii="Arial" w:hAnsi="Arial" w:cs="Arial"/>
                <w:sz w:val="24"/>
                <w:vertAlign w:val="subscript"/>
                <w:lang w:eastAsia="en-GB"/>
              </w:rPr>
              <w:t>2</w:t>
            </w:r>
          </w:p>
        </w:tc>
        <w:tc>
          <w:tcPr>
            <w:tcW w:w="578" w:type="dxa"/>
            <w:tcBorders>
              <w:top w:val="nil"/>
              <w:left w:val="nil"/>
              <w:bottom w:val="single" w:sz="4" w:space="0" w:color="auto"/>
              <w:right w:val="single" w:sz="4" w:space="0" w:color="auto"/>
            </w:tcBorders>
            <w:shd w:val="clear" w:color="800000" w:fill="808080"/>
            <w:noWrap/>
            <w:vAlign w:val="bottom"/>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CH</w:t>
            </w:r>
            <w:r w:rsidRPr="006A6CE3">
              <w:rPr>
                <w:rFonts w:ascii="Arial" w:hAnsi="Arial" w:cs="Arial"/>
                <w:sz w:val="24"/>
                <w:vertAlign w:val="subscript"/>
                <w:lang w:eastAsia="en-GB"/>
              </w:rPr>
              <w:t>4</w:t>
            </w:r>
          </w:p>
        </w:tc>
        <w:tc>
          <w:tcPr>
            <w:tcW w:w="611" w:type="dxa"/>
            <w:tcBorders>
              <w:top w:val="nil"/>
              <w:left w:val="nil"/>
              <w:bottom w:val="single" w:sz="4" w:space="0" w:color="auto"/>
              <w:right w:val="single" w:sz="4" w:space="0" w:color="auto"/>
            </w:tcBorders>
            <w:shd w:val="clear" w:color="800000" w:fill="808080"/>
            <w:noWrap/>
            <w:vAlign w:val="bottom"/>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N</w:t>
            </w:r>
            <w:r w:rsidRPr="006A6CE3">
              <w:rPr>
                <w:rFonts w:ascii="Arial" w:hAnsi="Arial" w:cs="Arial"/>
                <w:sz w:val="24"/>
                <w:vertAlign w:val="subscript"/>
                <w:lang w:eastAsia="en-GB"/>
              </w:rPr>
              <w:t>2</w:t>
            </w:r>
            <w:r w:rsidRPr="006A6CE3">
              <w:rPr>
                <w:rFonts w:ascii="Arial" w:hAnsi="Arial" w:cs="Arial"/>
                <w:sz w:val="24"/>
                <w:lang w:eastAsia="en-GB"/>
              </w:rPr>
              <w:t>O</w:t>
            </w:r>
          </w:p>
        </w:tc>
        <w:tc>
          <w:tcPr>
            <w:tcW w:w="616" w:type="dxa"/>
            <w:tcBorders>
              <w:top w:val="nil"/>
              <w:left w:val="nil"/>
              <w:bottom w:val="single" w:sz="4" w:space="0" w:color="auto"/>
              <w:right w:val="single" w:sz="4" w:space="0" w:color="auto"/>
            </w:tcBorders>
            <w:shd w:val="clear" w:color="800000" w:fill="808080"/>
            <w:noWrap/>
            <w:vAlign w:val="bottom"/>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PFC</w:t>
            </w:r>
          </w:p>
        </w:tc>
        <w:tc>
          <w:tcPr>
            <w:tcW w:w="545" w:type="dxa"/>
            <w:tcBorders>
              <w:top w:val="nil"/>
              <w:left w:val="nil"/>
              <w:bottom w:val="single" w:sz="4" w:space="0" w:color="auto"/>
              <w:right w:val="single" w:sz="4" w:space="0" w:color="auto"/>
            </w:tcBorders>
            <w:shd w:val="clear" w:color="800000" w:fill="808080"/>
            <w:noWrap/>
            <w:vAlign w:val="bottom"/>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SF</w:t>
            </w:r>
            <w:r w:rsidRPr="006A6CE3">
              <w:rPr>
                <w:rFonts w:ascii="Arial" w:hAnsi="Arial" w:cs="Arial"/>
                <w:sz w:val="24"/>
                <w:vertAlign w:val="subscript"/>
                <w:lang w:eastAsia="en-GB"/>
              </w:rPr>
              <w:t>6</w:t>
            </w:r>
          </w:p>
        </w:tc>
        <w:tc>
          <w:tcPr>
            <w:tcW w:w="633" w:type="dxa"/>
            <w:tcBorders>
              <w:top w:val="nil"/>
              <w:left w:val="nil"/>
              <w:bottom w:val="single" w:sz="4" w:space="0" w:color="auto"/>
              <w:right w:val="single" w:sz="4" w:space="0" w:color="auto"/>
            </w:tcBorders>
            <w:shd w:val="clear" w:color="800000" w:fill="808080"/>
            <w:noWrap/>
            <w:vAlign w:val="bottom"/>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HFC</w:t>
            </w:r>
          </w:p>
        </w:tc>
      </w:tr>
      <w:tr w:rsidR="00913351" w:rsidRPr="006A6CE3" w:rsidTr="00913351">
        <w:trPr>
          <w:trHeight w:val="255"/>
        </w:trPr>
        <w:tc>
          <w:tcPr>
            <w:tcW w:w="1293" w:type="dxa"/>
            <w:vMerge w:val="restart"/>
            <w:tcBorders>
              <w:top w:val="nil"/>
              <w:left w:val="single" w:sz="4" w:space="0" w:color="auto"/>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Mineral Products</w:t>
            </w:r>
          </w:p>
        </w:tc>
        <w:tc>
          <w:tcPr>
            <w:tcW w:w="3220"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Cement Production</w:t>
            </w:r>
          </w:p>
        </w:tc>
        <w:tc>
          <w:tcPr>
            <w:tcW w:w="589"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78"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1"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6"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45"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33"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r>
      <w:tr w:rsidR="00913351" w:rsidRPr="006A6CE3" w:rsidTr="00913351">
        <w:trPr>
          <w:trHeight w:val="255"/>
        </w:trPr>
        <w:tc>
          <w:tcPr>
            <w:tcW w:w="1293" w:type="dxa"/>
            <w:vMerge/>
            <w:tcBorders>
              <w:top w:val="nil"/>
              <w:left w:val="single" w:sz="4" w:space="0" w:color="auto"/>
              <w:bottom w:val="single" w:sz="4" w:space="0" w:color="auto"/>
              <w:right w:val="single" w:sz="4" w:space="0" w:color="auto"/>
            </w:tcBorders>
            <w:vAlign w:val="center"/>
            <w:hideMark/>
          </w:tcPr>
          <w:p w:rsidR="00913351" w:rsidRPr="006A6CE3" w:rsidRDefault="00913351" w:rsidP="00E204D9">
            <w:pPr>
              <w:pStyle w:val="NoSpacing"/>
              <w:rPr>
                <w:rFonts w:ascii="Arial" w:hAnsi="Arial" w:cs="Arial"/>
                <w:sz w:val="24"/>
                <w:lang w:eastAsia="en-GB"/>
              </w:rPr>
            </w:pPr>
          </w:p>
        </w:tc>
        <w:tc>
          <w:tcPr>
            <w:tcW w:w="3220"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Lime Production</w:t>
            </w:r>
          </w:p>
        </w:tc>
        <w:tc>
          <w:tcPr>
            <w:tcW w:w="589"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78"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1"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6"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45"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33"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r>
      <w:tr w:rsidR="00913351" w:rsidRPr="006A6CE3" w:rsidTr="00913351">
        <w:trPr>
          <w:trHeight w:val="255"/>
        </w:trPr>
        <w:tc>
          <w:tcPr>
            <w:tcW w:w="1293" w:type="dxa"/>
            <w:vMerge/>
            <w:tcBorders>
              <w:top w:val="nil"/>
              <w:left w:val="single" w:sz="4" w:space="0" w:color="auto"/>
              <w:bottom w:val="single" w:sz="4" w:space="0" w:color="auto"/>
              <w:right w:val="single" w:sz="4" w:space="0" w:color="auto"/>
            </w:tcBorders>
            <w:vAlign w:val="center"/>
            <w:hideMark/>
          </w:tcPr>
          <w:p w:rsidR="00913351" w:rsidRPr="006A6CE3" w:rsidRDefault="00913351" w:rsidP="00E204D9">
            <w:pPr>
              <w:pStyle w:val="NoSpacing"/>
              <w:rPr>
                <w:rFonts w:ascii="Arial" w:hAnsi="Arial" w:cs="Arial"/>
                <w:sz w:val="24"/>
                <w:lang w:eastAsia="en-GB"/>
              </w:rPr>
            </w:pPr>
          </w:p>
        </w:tc>
        <w:tc>
          <w:tcPr>
            <w:tcW w:w="3220"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Limestone Use</w:t>
            </w:r>
            <w:r w:rsidRPr="006A6CE3">
              <w:rPr>
                <w:rFonts w:ascii="Arial" w:hAnsi="Arial" w:cs="Arial"/>
                <w:sz w:val="24"/>
                <w:vertAlign w:val="superscript"/>
                <w:lang w:eastAsia="en-GB"/>
              </w:rPr>
              <w:t xml:space="preserve"> </w:t>
            </w:r>
            <w:r w:rsidRPr="006A6CE3">
              <w:rPr>
                <w:rStyle w:val="FootnoteReference"/>
                <w:rFonts w:ascii="Arial" w:hAnsi="Arial" w:cs="Arial"/>
                <w:sz w:val="24"/>
                <w:szCs w:val="24"/>
                <w:lang w:eastAsia="en-GB"/>
              </w:rPr>
              <w:footnoteReference w:id="80"/>
            </w:r>
          </w:p>
        </w:tc>
        <w:tc>
          <w:tcPr>
            <w:tcW w:w="589"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78"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1"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6"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45"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33"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r>
      <w:tr w:rsidR="00913351" w:rsidRPr="006A6CE3" w:rsidTr="00913351">
        <w:trPr>
          <w:trHeight w:val="255"/>
        </w:trPr>
        <w:tc>
          <w:tcPr>
            <w:tcW w:w="1293" w:type="dxa"/>
            <w:vMerge/>
            <w:tcBorders>
              <w:top w:val="nil"/>
              <w:left w:val="single" w:sz="4" w:space="0" w:color="auto"/>
              <w:bottom w:val="single" w:sz="4" w:space="0" w:color="auto"/>
              <w:right w:val="single" w:sz="4" w:space="0" w:color="auto"/>
            </w:tcBorders>
            <w:vAlign w:val="center"/>
            <w:hideMark/>
          </w:tcPr>
          <w:p w:rsidR="00913351" w:rsidRPr="006A6CE3" w:rsidRDefault="00913351" w:rsidP="00E204D9">
            <w:pPr>
              <w:pStyle w:val="NoSpacing"/>
              <w:rPr>
                <w:rFonts w:ascii="Arial" w:hAnsi="Arial" w:cs="Arial"/>
                <w:sz w:val="24"/>
                <w:lang w:eastAsia="en-GB"/>
              </w:rPr>
            </w:pPr>
          </w:p>
        </w:tc>
        <w:tc>
          <w:tcPr>
            <w:tcW w:w="3220"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Soda Ash Production and Use</w:t>
            </w:r>
          </w:p>
        </w:tc>
        <w:tc>
          <w:tcPr>
            <w:tcW w:w="589"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78"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1"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6"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45"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33"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r>
      <w:tr w:rsidR="00913351" w:rsidRPr="006A6CE3" w:rsidTr="00913351">
        <w:trPr>
          <w:trHeight w:val="255"/>
        </w:trPr>
        <w:tc>
          <w:tcPr>
            <w:tcW w:w="1293" w:type="dxa"/>
            <w:vMerge/>
            <w:tcBorders>
              <w:top w:val="nil"/>
              <w:left w:val="single" w:sz="4" w:space="0" w:color="auto"/>
              <w:bottom w:val="single" w:sz="4" w:space="0" w:color="auto"/>
              <w:right w:val="single" w:sz="4" w:space="0" w:color="auto"/>
            </w:tcBorders>
            <w:vAlign w:val="center"/>
            <w:hideMark/>
          </w:tcPr>
          <w:p w:rsidR="00913351" w:rsidRPr="006A6CE3" w:rsidRDefault="00913351" w:rsidP="00E204D9">
            <w:pPr>
              <w:pStyle w:val="NoSpacing"/>
              <w:rPr>
                <w:rFonts w:ascii="Arial" w:hAnsi="Arial" w:cs="Arial"/>
                <w:sz w:val="24"/>
                <w:lang w:eastAsia="en-GB"/>
              </w:rPr>
            </w:pPr>
          </w:p>
        </w:tc>
        <w:tc>
          <w:tcPr>
            <w:tcW w:w="3220"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proofErr w:type="spellStart"/>
            <w:r w:rsidRPr="006A6CE3">
              <w:rPr>
                <w:rFonts w:ascii="Arial" w:hAnsi="Arial" w:cs="Arial"/>
                <w:sz w:val="24"/>
                <w:lang w:eastAsia="en-GB"/>
              </w:rPr>
              <w:t>Fletton</w:t>
            </w:r>
            <w:proofErr w:type="spellEnd"/>
            <w:r w:rsidRPr="006A6CE3">
              <w:rPr>
                <w:rFonts w:ascii="Arial" w:hAnsi="Arial" w:cs="Arial"/>
                <w:sz w:val="24"/>
                <w:lang w:eastAsia="en-GB"/>
              </w:rPr>
              <w:t xml:space="preserve"> Brick Manufacture</w:t>
            </w:r>
            <w:r w:rsidRPr="006A6CE3">
              <w:rPr>
                <w:rFonts w:ascii="Arial" w:hAnsi="Arial" w:cs="Arial"/>
                <w:sz w:val="24"/>
                <w:vertAlign w:val="superscript"/>
                <w:lang w:eastAsia="en-GB"/>
              </w:rPr>
              <w:t xml:space="preserve"> </w:t>
            </w:r>
            <w:r w:rsidRPr="006A6CE3">
              <w:rPr>
                <w:rStyle w:val="FootnoteReference"/>
                <w:rFonts w:ascii="Arial" w:hAnsi="Arial" w:cs="Arial"/>
                <w:sz w:val="24"/>
                <w:szCs w:val="24"/>
                <w:lang w:eastAsia="en-GB"/>
              </w:rPr>
              <w:footnoteReference w:id="81"/>
            </w:r>
          </w:p>
        </w:tc>
        <w:tc>
          <w:tcPr>
            <w:tcW w:w="589"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78"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1"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6"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45"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33"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r>
      <w:tr w:rsidR="00913351" w:rsidRPr="006A6CE3" w:rsidTr="00913351">
        <w:trPr>
          <w:trHeight w:val="255"/>
        </w:trPr>
        <w:tc>
          <w:tcPr>
            <w:tcW w:w="1293" w:type="dxa"/>
            <w:vMerge w:val="restart"/>
            <w:tcBorders>
              <w:top w:val="nil"/>
              <w:left w:val="single" w:sz="4" w:space="0" w:color="auto"/>
              <w:bottom w:val="single" w:sz="4" w:space="0" w:color="000000"/>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Chemical Industry</w:t>
            </w:r>
          </w:p>
        </w:tc>
        <w:tc>
          <w:tcPr>
            <w:tcW w:w="3220"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Ammonia</w:t>
            </w:r>
          </w:p>
        </w:tc>
        <w:tc>
          <w:tcPr>
            <w:tcW w:w="589"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78"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1"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6"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45"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33"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r>
      <w:tr w:rsidR="00913351" w:rsidRPr="006A6CE3" w:rsidTr="00913351">
        <w:trPr>
          <w:trHeight w:val="255"/>
        </w:trPr>
        <w:tc>
          <w:tcPr>
            <w:tcW w:w="1293" w:type="dxa"/>
            <w:vMerge/>
            <w:tcBorders>
              <w:top w:val="nil"/>
              <w:left w:val="single" w:sz="4" w:space="0" w:color="auto"/>
              <w:bottom w:val="single" w:sz="4" w:space="0" w:color="000000"/>
              <w:right w:val="single" w:sz="4" w:space="0" w:color="auto"/>
            </w:tcBorders>
            <w:vAlign w:val="center"/>
            <w:hideMark/>
          </w:tcPr>
          <w:p w:rsidR="00913351" w:rsidRPr="006A6CE3" w:rsidRDefault="00913351" w:rsidP="00E204D9">
            <w:pPr>
              <w:pStyle w:val="NoSpacing"/>
              <w:rPr>
                <w:rFonts w:ascii="Arial" w:hAnsi="Arial" w:cs="Arial"/>
                <w:sz w:val="24"/>
                <w:lang w:eastAsia="en-GB"/>
              </w:rPr>
            </w:pPr>
          </w:p>
        </w:tc>
        <w:tc>
          <w:tcPr>
            <w:tcW w:w="3220"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Nitric Acid</w:t>
            </w:r>
          </w:p>
        </w:tc>
        <w:tc>
          <w:tcPr>
            <w:tcW w:w="589"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78"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1"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6"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45"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33"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r>
      <w:tr w:rsidR="00913351" w:rsidRPr="006A6CE3" w:rsidTr="00913351">
        <w:trPr>
          <w:trHeight w:val="255"/>
        </w:trPr>
        <w:tc>
          <w:tcPr>
            <w:tcW w:w="1293" w:type="dxa"/>
            <w:vMerge/>
            <w:tcBorders>
              <w:top w:val="nil"/>
              <w:left w:val="single" w:sz="4" w:space="0" w:color="auto"/>
              <w:bottom w:val="single" w:sz="4" w:space="0" w:color="000000"/>
              <w:right w:val="single" w:sz="4" w:space="0" w:color="auto"/>
            </w:tcBorders>
            <w:vAlign w:val="center"/>
            <w:hideMark/>
          </w:tcPr>
          <w:p w:rsidR="00913351" w:rsidRPr="006A6CE3" w:rsidRDefault="00913351" w:rsidP="00E204D9">
            <w:pPr>
              <w:pStyle w:val="NoSpacing"/>
              <w:rPr>
                <w:rFonts w:ascii="Arial" w:hAnsi="Arial" w:cs="Arial"/>
                <w:sz w:val="24"/>
                <w:lang w:eastAsia="en-GB"/>
              </w:rPr>
            </w:pPr>
          </w:p>
        </w:tc>
        <w:tc>
          <w:tcPr>
            <w:tcW w:w="3220"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proofErr w:type="spellStart"/>
            <w:r w:rsidRPr="006A6CE3">
              <w:rPr>
                <w:rFonts w:ascii="Arial" w:hAnsi="Arial" w:cs="Arial"/>
                <w:sz w:val="24"/>
                <w:lang w:eastAsia="en-GB"/>
              </w:rPr>
              <w:t>Adpic</w:t>
            </w:r>
            <w:proofErr w:type="spellEnd"/>
            <w:r w:rsidRPr="006A6CE3">
              <w:rPr>
                <w:rFonts w:ascii="Arial" w:hAnsi="Arial" w:cs="Arial"/>
                <w:sz w:val="24"/>
                <w:lang w:eastAsia="en-GB"/>
              </w:rPr>
              <w:t xml:space="preserve"> Acid</w:t>
            </w:r>
          </w:p>
        </w:tc>
        <w:tc>
          <w:tcPr>
            <w:tcW w:w="589"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78"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1"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6"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45"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33"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r>
      <w:tr w:rsidR="00913351" w:rsidRPr="006A6CE3" w:rsidTr="00913351">
        <w:trPr>
          <w:trHeight w:val="255"/>
        </w:trPr>
        <w:tc>
          <w:tcPr>
            <w:tcW w:w="1293" w:type="dxa"/>
            <w:vMerge/>
            <w:tcBorders>
              <w:top w:val="nil"/>
              <w:left w:val="single" w:sz="4" w:space="0" w:color="auto"/>
              <w:bottom w:val="single" w:sz="4" w:space="0" w:color="000000"/>
              <w:right w:val="single" w:sz="4" w:space="0" w:color="auto"/>
            </w:tcBorders>
            <w:vAlign w:val="center"/>
            <w:hideMark/>
          </w:tcPr>
          <w:p w:rsidR="00913351" w:rsidRPr="006A6CE3" w:rsidRDefault="00913351" w:rsidP="00E204D9">
            <w:pPr>
              <w:pStyle w:val="NoSpacing"/>
              <w:rPr>
                <w:rFonts w:ascii="Arial" w:hAnsi="Arial" w:cs="Arial"/>
                <w:sz w:val="24"/>
                <w:lang w:eastAsia="en-GB"/>
              </w:rPr>
            </w:pPr>
          </w:p>
        </w:tc>
        <w:tc>
          <w:tcPr>
            <w:tcW w:w="3220"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Urea</w:t>
            </w:r>
          </w:p>
        </w:tc>
        <w:tc>
          <w:tcPr>
            <w:tcW w:w="589"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78"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1"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6"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45"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33"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r>
      <w:tr w:rsidR="00913351" w:rsidRPr="006A6CE3" w:rsidTr="00913351">
        <w:trPr>
          <w:trHeight w:val="255"/>
        </w:trPr>
        <w:tc>
          <w:tcPr>
            <w:tcW w:w="1293" w:type="dxa"/>
            <w:vMerge/>
            <w:tcBorders>
              <w:top w:val="nil"/>
              <w:left w:val="single" w:sz="4" w:space="0" w:color="auto"/>
              <w:bottom w:val="single" w:sz="4" w:space="0" w:color="000000"/>
              <w:right w:val="single" w:sz="4" w:space="0" w:color="auto"/>
            </w:tcBorders>
            <w:vAlign w:val="center"/>
            <w:hideMark/>
          </w:tcPr>
          <w:p w:rsidR="00913351" w:rsidRPr="006A6CE3" w:rsidRDefault="00913351" w:rsidP="00E204D9">
            <w:pPr>
              <w:pStyle w:val="NoSpacing"/>
              <w:rPr>
                <w:rFonts w:ascii="Arial" w:hAnsi="Arial" w:cs="Arial"/>
                <w:sz w:val="24"/>
                <w:lang w:eastAsia="en-GB"/>
              </w:rPr>
            </w:pPr>
          </w:p>
        </w:tc>
        <w:tc>
          <w:tcPr>
            <w:tcW w:w="3220"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Carbides</w:t>
            </w:r>
          </w:p>
        </w:tc>
        <w:tc>
          <w:tcPr>
            <w:tcW w:w="589"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78"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1"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6"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45"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33"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r>
      <w:tr w:rsidR="00913351" w:rsidRPr="006A6CE3" w:rsidTr="00913351">
        <w:trPr>
          <w:trHeight w:val="255"/>
        </w:trPr>
        <w:tc>
          <w:tcPr>
            <w:tcW w:w="1293" w:type="dxa"/>
            <w:vMerge/>
            <w:tcBorders>
              <w:top w:val="nil"/>
              <w:left w:val="single" w:sz="4" w:space="0" w:color="auto"/>
              <w:bottom w:val="single" w:sz="4" w:space="0" w:color="000000"/>
              <w:right w:val="single" w:sz="4" w:space="0" w:color="auto"/>
            </w:tcBorders>
            <w:vAlign w:val="center"/>
            <w:hideMark/>
          </w:tcPr>
          <w:p w:rsidR="00913351" w:rsidRPr="006A6CE3" w:rsidRDefault="00913351" w:rsidP="00E204D9">
            <w:pPr>
              <w:pStyle w:val="NoSpacing"/>
              <w:rPr>
                <w:rFonts w:ascii="Arial" w:hAnsi="Arial" w:cs="Arial"/>
                <w:sz w:val="24"/>
                <w:lang w:eastAsia="en-GB"/>
              </w:rPr>
            </w:pPr>
          </w:p>
        </w:tc>
        <w:tc>
          <w:tcPr>
            <w:tcW w:w="3220"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proofErr w:type="spellStart"/>
            <w:r w:rsidRPr="006A6CE3">
              <w:rPr>
                <w:rFonts w:ascii="Arial" w:hAnsi="Arial" w:cs="Arial"/>
                <w:sz w:val="24"/>
                <w:lang w:eastAsia="en-GB"/>
              </w:rPr>
              <w:t>Caprolactam</w:t>
            </w:r>
            <w:proofErr w:type="spellEnd"/>
          </w:p>
        </w:tc>
        <w:tc>
          <w:tcPr>
            <w:tcW w:w="589"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78"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1"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6"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45"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33"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r>
      <w:tr w:rsidR="00913351" w:rsidRPr="006A6CE3" w:rsidTr="00913351">
        <w:trPr>
          <w:trHeight w:val="255"/>
        </w:trPr>
        <w:tc>
          <w:tcPr>
            <w:tcW w:w="1293" w:type="dxa"/>
            <w:vMerge/>
            <w:tcBorders>
              <w:top w:val="nil"/>
              <w:left w:val="single" w:sz="4" w:space="0" w:color="auto"/>
              <w:bottom w:val="single" w:sz="4" w:space="0" w:color="000000"/>
              <w:right w:val="single" w:sz="4" w:space="0" w:color="auto"/>
            </w:tcBorders>
            <w:vAlign w:val="center"/>
            <w:hideMark/>
          </w:tcPr>
          <w:p w:rsidR="00913351" w:rsidRPr="006A6CE3" w:rsidRDefault="00913351" w:rsidP="00E204D9">
            <w:pPr>
              <w:pStyle w:val="NoSpacing"/>
              <w:rPr>
                <w:rFonts w:ascii="Arial" w:hAnsi="Arial" w:cs="Arial"/>
                <w:sz w:val="24"/>
                <w:lang w:eastAsia="en-GB"/>
              </w:rPr>
            </w:pPr>
          </w:p>
        </w:tc>
        <w:tc>
          <w:tcPr>
            <w:tcW w:w="3220"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Petrochemicals</w:t>
            </w:r>
          </w:p>
        </w:tc>
        <w:tc>
          <w:tcPr>
            <w:tcW w:w="589"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78"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1"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6"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45"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33"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r>
      <w:tr w:rsidR="00913351" w:rsidRPr="006A6CE3" w:rsidTr="00913351">
        <w:trPr>
          <w:trHeight w:val="255"/>
        </w:trPr>
        <w:tc>
          <w:tcPr>
            <w:tcW w:w="1293" w:type="dxa"/>
            <w:vMerge w:val="restart"/>
            <w:tcBorders>
              <w:top w:val="nil"/>
              <w:left w:val="single" w:sz="4" w:space="0" w:color="auto"/>
              <w:bottom w:val="single" w:sz="4" w:space="0" w:color="000000"/>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Metal Production</w:t>
            </w:r>
          </w:p>
        </w:tc>
        <w:tc>
          <w:tcPr>
            <w:tcW w:w="3220"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Iron, Steel and Ferroalloys</w:t>
            </w:r>
          </w:p>
        </w:tc>
        <w:tc>
          <w:tcPr>
            <w:tcW w:w="589"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78"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1"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6"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45"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33"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r>
      <w:tr w:rsidR="00913351" w:rsidRPr="006A6CE3" w:rsidTr="00913351">
        <w:trPr>
          <w:trHeight w:val="255"/>
        </w:trPr>
        <w:tc>
          <w:tcPr>
            <w:tcW w:w="1293" w:type="dxa"/>
            <w:vMerge/>
            <w:tcBorders>
              <w:top w:val="nil"/>
              <w:left w:val="single" w:sz="4" w:space="0" w:color="auto"/>
              <w:bottom w:val="single" w:sz="4" w:space="0" w:color="000000"/>
              <w:right w:val="single" w:sz="4" w:space="0" w:color="auto"/>
            </w:tcBorders>
            <w:vAlign w:val="center"/>
            <w:hideMark/>
          </w:tcPr>
          <w:p w:rsidR="00913351" w:rsidRPr="006A6CE3" w:rsidRDefault="00913351" w:rsidP="00E204D9">
            <w:pPr>
              <w:pStyle w:val="NoSpacing"/>
              <w:rPr>
                <w:rFonts w:ascii="Arial" w:hAnsi="Arial" w:cs="Arial"/>
                <w:sz w:val="24"/>
                <w:lang w:eastAsia="en-GB"/>
              </w:rPr>
            </w:pPr>
          </w:p>
        </w:tc>
        <w:tc>
          <w:tcPr>
            <w:tcW w:w="3220"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Aluminium</w:t>
            </w:r>
          </w:p>
        </w:tc>
        <w:tc>
          <w:tcPr>
            <w:tcW w:w="589"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78"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1"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6"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45"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33"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r>
      <w:tr w:rsidR="00913351" w:rsidRPr="006A6CE3" w:rsidTr="00913351">
        <w:trPr>
          <w:trHeight w:val="255"/>
        </w:trPr>
        <w:tc>
          <w:tcPr>
            <w:tcW w:w="1293" w:type="dxa"/>
            <w:vMerge/>
            <w:tcBorders>
              <w:top w:val="nil"/>
              <w:left w:val="single" w:sz="4" w:space="0" w:color="auto"/>
              <w:bottom w:val="single" w:sz="4" w:space="0" w:color="000000"/>
              <w:right w:val="single" w:sz="4" w:space="0" w:color="auto"/>
            </w:tcBorders>
            <w:vAlign w:val="center"/>
            <w:hideMark/>
          </w:tcPr>
          <w:p w:rsidR="00913351" w:rsidRPr="006A6CE3" w:rsidRDefault="00913351" w:rsidP="00E204D9">
            <w:pPr>
              <w:pStyle w:val="NoSpacing"/>
              <w:rPr>
                <w:rFonts w:ascii="Arial" w:hAnsi="Arial" w:cs="Arial"/>
                <w:sz w:val="24"/>
                <w:lang w:eastAsia="en-GB"/>
              </w:rPr>
            </w:pPr>
          </w:p>
        </w:tc>
        <w:tc>
          <w:tcPr>
            <w:tcW w:w="3220"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Magnesium</w:t>
            </w:r>
          </w:p>
        </w:tc>
        <w:tc>
          <w:tcPr>
            <w:tcW w:w="589"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78"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1"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6"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45"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33"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r>
      <w:tr w:rsidR="00913351" w:rsidRPr="006A6CE3" w:rsidTr="00913351">
        <w:trPr>
          <w:trHeight w:val="255"/>
        </w:trPr>
        <w:tc>
          <w:tcPr>
            <w:tcW w:w="1293" w:type="dxa"/>
            <w:vMerge/>
            <w:tcBorders>
              <w:top w:val="nil"/>
              <w:left w:val="single" w:sz="4" w:space="0" w:color="auto"/>
              <w:bottom w:val="single" w:sz="4" w:space="0" w:color="000000"/>
              <w:right w:val="single" w:sz="4" w:space="0" w:color="auto"/>
            </w:tcBorders>
            <w:vAlign w:val="center"/>
            <w:hideMark/>
          </w:tcPr>
          <w:p w:rsidR="00913351" w:rsidRPr="006A6CE3" w:rsidRDefault="00913351" w:rsidP="00E204D9">
            <w:pPr>
              <w:pStyle w:val="NoSpacing"/>
              <w:rPr>
                <w:rFonts w:ascii="Arial" w:hAnsi="Arial" w:cs="Arial"/>
                <w:sz w:val="24"/>
                <w:lang w:eastAsia="en-GB"/>
              </w:rPr>
            </w:pPr>
          </w:p>
        </w:tc>
        <w:tc>
          <w:tcPr>
            <w:tcW w:w="3220"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Other Metals</w:t>
            </w:r>
          </w:p>
        </w:tc>
        <w:tc>
          <w:tcPr>
            <w:tcW w:w="589"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78"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1"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6"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45"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33"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r>
      <w:tr w:rsidR="00913351" w:rsidRPr="006A6CE3" w:rsidTr="00913351">
        <w:trPr>
          <w:trHeight w:val="255"/>
        </w:trPr>
        <w:tc>
          <w:tcPr>
            <w:tcW w:w="1293" w:type="dxa"/>
            <w:vMerge w:val="restart"/>
            <w:tcBorders>
              <w:top w:val="nil"/>
              <w:left w:val="single" w:sz="4" w:space="0" w:color="auto"/>
              <w:bottom w:val="single" w:sz="4" w:space="0" w:color="000000"/>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Energy Industry</w:t>
            </w:r>
          </w:p>
        </w:tc>
        <w:tc>
          <w:tcPr>
            <w:tcW w:w="3220"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Coal mining</w:t>
            </w:r>
          </w:p>
        </w:tc>
        <w:tc>
          <w:tcPr>
            <w:tcW w:w="589"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78"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1"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6"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45"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33"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r>
      <w:tr w:rsidR="00913351" w:rsidRPr="006A6CE3" w:rsidTr="00913351">
        <w:trPr>
          <w:trHeight w:val="255"/>
        </w:trPr>
        <w:tc>
          <w:tcPr>
            <w:tcW w:w="1293" w:type="dxa"/>
            <w:vMerge/>
            <w:tcBorders>
              <w:top w:val="nil"/>
              <w:left w:val="single" w:sz="4" w:space="0" w:color="auto"/>
              <w:bottom w:val="single" w:sz="4" w:space="0" w:color="000000"/>
              <w:right w:val="single" w:sz="4" w:space="0" w:color="auto"/>
            </w:tcBorders>
            <w:vAlign w:val="center"/>
            <w:hideMark/>
          </w:tcPr>
          <w:p w:rsidR="00913351" w:rsidRPr="006A6CE3" w:rsidRDefault="00913351" w:rsidP="00E204D9">
            <w:pPr>
              <w:pStyle w:val="NoSpacing"/>
              <w:rPr>
                <w:rFonts w:ascii="Arial" w:hAnsi="Arial" w:cs="Arial"/>
                <w:sz w:val="24"/>
                <w:lang w:eastAsia="en-GB"/>
              </w:rPr>
            </w:pPr>
          </w:p>
        </w:tc>
        <w:tc>
          <w:tcPr>
            <w:tcW w:w="3220"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Solid fuel transformation</w:t>
            </w:r>
          </w:p>
        </w:tc>
        <w:tc>
          <w:tcPr>
            <w:tcW w:w="589"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78"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1"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6"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45"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33"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r>
      <w:tr w:rsidR="00913351" w:rsidRPr="006A6CE3" w:rsidTr="00913351">
        <w:trPr>
          <w:trHeight w:val="255"/>
        </w:trPr>
        <w:tc>
          <w:tcPr>
            <w:tcW w:w="1293" w:type="dxa"/>
            <w:vMerge/>
            <w:tcBorders>
              <w:top w:val="nil"/>
              <w:left w:val="single" w:sz="4" w:space="0" w:color="auto"/>
              <w:bottom w:val="single" w:sz="4" w:space="0" w:color="000000"/>
              <w:right w:val="single" w:sz="4" w:space="0" w:color="auto"/>
            </w:tcBorders>
            <w:vAlign w:val="center"/>
            <w:hideMark/>
          </w:tcPr>
          <w:p w:rsidR="00913351" w:rsidRPr="006A6CE3" w:rsidRDefault="00913351" w:rsidP="00E204D9">
            <w:pPr>
              <w:pStyle w:val="NoSpacing"/>
              <w:rPr>
                <w:rFonts w:ascii="Arial" w:hAnsi="Arial" w:cs="Arial"/>
                <w:sz w:val="24"/>
                <w:lang w:eastAsia="en-GB"/>
              </w:rPr>
            </w:pPr>
          </w:p>
        </w:tc>
        <w:tc>
          <w:tcPr>
            <w:tcW w:w="3220"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Oil production</w:t>
            </w:r>
          </w:p>
        </w:tc>
        <w:tc>
          <w:tcPr>
            <w:tcW w:w="589"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78"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1"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6"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45"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33"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r>
      <w:tr w:rsidR="00913351" w:rsidRPr="006A6CE3" w:rsidTr="00913351">
        <w:trPr>
          <w:trHeight w:val="255"/>
        </w:trPr>
        <w:tc>
          <w:tcPr>
            <w:tcW w:w="1293" w:type="dxa"/>
            <w:vMerge/>
            <w:tcBorders>
              <w:top w:val="nil"/>
              <w:left w:val="single" w:sz="4" w:space="0" w:color="auto"/>
              <w:bottom w:val="single" w:sz="4" w:space="0" w:color="000000"/>
              <w:right w:val="single" w:sz="4" w:space="0" w:color="auto"/>
            </w:tcBorders>
            <w:vAlign w:val="center"/>
            <w:hideMark/>
          </w:tcPr>
          <w:p w:rsidR="00913351" w:rsidRPr="006A6CE3" w:rsidRDefault="00913351" w:rsidP="00E204D9">
            <w:pPr>
              <w:pStyle w:val="NoSpacing"/>
              <w:rPr>
                <w:rFonts w:ascii="Arial" w:hAnsi="Arial" w:cs="Arial"/>
                <w:sz w:val="24"/>
                <w:lang w:eastAsia="en-GB"/>
              </w:rPr>
            </w:pPr>
          </w:p>
        </w:tc>
        <w:tc>
          <w:tcPr>
            <w:tcW w:w="3220"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p>
        </w:tc>
        <w:tc>
          <w:tcPr>
            <w:tcW w:w="589"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p>
        </w:tc>
        <w:tc>
          <w:tcPr>
            <w:tcW w:w="578"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p>
        </w:tc>
        <w:tc>
          <w:tcPr>
            <w:tcW w:w="611"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p>
        </w:tc>
        <w:tc>
          <w:tcPr>
            <w:tcW w:w="616"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p>
        </w:tc>
        <w:tc>
          <w:tcPr>
            <w:tcW w:w="545"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p>
        </w:tc>
        <w:tc>
          <w:tcPr>
            <w:tcW w:w="633"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p>
        </w:tc>
      </w:tr>
      <w:tr w:rsidR="00913351" w:rsidRPr="006A6CE3" w:rsidTr="00913351">
        <w:trPr>
          <w:trHeight w:val="255"/>
        </w:trPr>
        <w:tc>
          <w:tcPr>
            <w:tcW w:w="1293" w:type="dxa"/>
            <w:vMerge/>
            <w:tcBorders>
              <w:top w:val="nil"/>
              <w:left w:val="single" w:sz="4" w:space="0" w:color="auto"/>
              <w:bottom w:val="single" w:sz="4" w:space="0" w:color="000000"/>
              <w:right w:val="single" w:sz="4" w:space="0" w:color="auto"/>
            </w:tcBorders>
            <w:vAlign w:val="center"/>
            <w:hideMark/>
          </w:tcPr>
          <w:p w:rsidR="00913351" w:rsidRPr="006A6CE3" w:rsidRDefault="00913351" w:rsidP="00E204D9">
            <w:pPr>
              <w:pStyle w:val="NoSpacing"/>
              <w:rPr>
                <w:rFonts w:ascii="Arial" w:hAnsi="Arial" w:cs="Arial"/>
                <w:sz w:val="24"/>
                <w:lang w:eastAsia="en-GB"/>
              </w:rPr>
            </w:pPr>
          </w:p>
        </w:tc>
        <w:tc>
          <w:tcPr>
            <w:tcW w:w="3220"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Gas production and distribution</w:t>
            </w:r>
          </w:p>
        </w:tc>
        <w:tc>
          <w:tcPr>
            <w:tcW w:w="589"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78"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1"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6"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45"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33"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r>
      <w:tr w:rsidR="00913351" w:rsidRPr="006A6CE3" w:rsidTr="00913351">
        <w:trPr>
          <w:trHeight w:val="255"/>
        </w:trPr>
        <w:tc>
          <w:tcPr>
            <w:tcW w:w="1293" w:type="dxa"/>
            <w:vMerge/>
            <w:tcBorders>
              <w:top w:val="nil"/>
              <w:left w:val="single" w:sz="4" w:space="0" w:color="auto"/>
              <w:bottom w:val="single" w:sz="4" w:space="0" w:color="000000"/>
              <w:right w:val="single" w:sz="4" w:space="0" w:color="auto"/>
            </w:tcBorders>
            <w:vAlign w:val="center"/>
            <w:hideMark/>
          </w:tcPr>
          <w:p w:rsidR="00913351" w:rsidRPr="006A6CE3" w:rsidRDefault="00913351" w:rsidP="00E204D9">
            <w:pPr>
              <w:pStyle w:val="NoSpacing"/>
              <w:rPr>
                <w:rFonts w:ascii="Arial" w:hAnsi="Arial" w:cs="Arial"/>
                <w:sz w:val="24"/>
                <w:lang w:eastAsia="en-GB"/>
              </w:rPr>
            </w:pPr>
          </w:p>
        </w:tc>
        <w:tc>
          <w:tcPr>
            <w:tcW w:w="3220"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Venting and flaring from oil/gas production</w:t>
            </w:r>
          </w:p>
        </w:tc>
        <w:tc>
          <w:tcPr>
            <w:tcW w:w="589"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78"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1"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6"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45"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33"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r>
      <w:tr w:rsidR="00913351" w:rsidRPr="006A6CE3" w:rsidTr="00913351">
        <w:trPr>
          <w:trHeight w:val="255"/>
        </w:trPr>
        <w:tc>
          <w:tcPr>
            <w:tcW w:w="1293" w:type="dxa"/>
            <w:vMerge w:val="restart"/>
            <w:tcBorders>
              <w:top w:val="nil"/>
              <w:left w:val="single" w:sz="4" w:space="0" w:color="auto"/>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lastRenderedPageBreak/>
              <w:t>Other</w:t>
            </w:r>
          </w:p>
        </w:tc>
        <w:tc>
          <w:tcPr>
            <w:tcW w:w="3220"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Production of Halocarbons</w:t>
            </w:r>
          </w:p>
        </w:tc>
        <w:tc>
          <w:tcPr>
            <w:tcW w:w="589"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78"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1"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6"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45"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33"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r>
      <w:tr w:rsidR="00913351" w:rsidRPr="006A6CE3" w:rsidTr="00913351">
        <w:trPr>
          <w:trHeight w:val="255"/>
        </w:trPr>
        <w:tc>
          <w:tcPr>
            <w:tcW w:w="1293" w:type="dxa"/>
            <w:vMerge/>
            <w:tcBorders>
              <w:top w:val="nil"/>
              <w:left w:val="single" w:sz="4" w:space="0" w:color="auto"/>
              <w:bottom w:val="single" w:sz="4" w:space="0" w:color="auto"/>
              <w:right w:val="single" w:sz="4" w:space="0" w:color="auto"/>
            </w:tcBorders>
            <w:vAlign w:val="center"/>
            <w:hideMark/>
          </w:tcPr>
          <w:p w:rsidR="00913351" w:rsidRPr="006A6CE3" w:rsidRDefault="00913351" w:rsidP="00E204D9">
            <w:pPr>
              <w:pStyle w:val="NoSpacing"/>
              <w:rPr>
                <w:rFonts w:ascii="Arial" w:hAnsi="Arial" w:cs="Arial"/>
                <w:sz w:val="24"/>
                <w:lang w:eastAsia="en-GB"/>
              </w:rPr>
            </w:pPr>
          </w:p>
        </w:tc>
        <w:tc>
          <w:tcPr>
            <w:tcW w:w="3220"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Use of Halocarbons and SF</w:t>
            </w:r>
            <w:r w:rsidRPr="006A6CE3">
              <w:rPr>
                <w:rFonts w:ascii="Arial" w:hAnsi="Arial" w:cs="Arial"/>
                <w:sz w:val="24"/>
                <w:vertAlign w:val="subscript"/>
                <w:lang w:eastAsia="en-GB"/>
              </w:rPr>
              <w:t>6</w:t>
            </w:r>
          </w:p>
        </w:tc>
        <w:tc>
          <w:tcPr>
            <w:tcW w:w="589"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78"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1"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6"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45"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33"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r>
      <w:tr w:rsidR="00913351" w:rsidRPr="006A6CE3" w:rsidTr="00913351">
        <w:trPr>
          <w:trHeight w:val="255"/>
        </w:trPr>
        <w:tc>
          <w:tcPr>
            <w:tcW w:w="1293" w:type="dxa"/>
            <w:vMerge/>
            <w:tcBorders>
              <w:top w:val="nil"/>
              <w:left w:val="single" w:sz="4" w:space="0" w:color="auto"/>
              <w:bottom w:val="single" w:sz="4" w:space="0" w:color="auto"/>
              <w:right w:val="single" w:sz="4" w:space="0" w:color="auto"/>
            </w:tcBorders>
            <w:vAlign w:val="center"/>
            <w:hideMark/>
          </w:tcPr>
          <w:p w:rsidR="00913351" w:rsidRPr="006A6CE3" w:rsidRDefault="00913351" w:rsidP="00E204D9">
            <w:pPr>
              <w:pStyle w:val="NoSpacing"/>
              <w:rPr>
                <w:rFonts w:ascii="Arial" w:hAnsi="Arial" w:cs="Arial"/>
                <w:sz w:val="24"/>
                <w:lang w:eastAsia="en-GB"/>
              </w:rPr>
            </w:pPr>
          </w:p>
        </w:tc>
        <w:tc>
          <w:tcPr>
            <w:tcW w:w="3220"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Organic waste management</w:t>
            </w:r>
          </w:p>
        </w:tc>
        <w:tc>
          <w:tcPr>
            <w:tcW w:w="589"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78" w:type="dxa"/>
            <w:tcBorders>
              <w:top w:val="nil"/>
              <w:left w:val="nil"/>
              <w:bottom w:val="single" w:sz="4" w:space="0" w:color="auto"/>
              <w:right w:val="single" w:sz="4" w:space="0" w:color="auto"/>
            </w:tcBorders>
            <w:shd w:val="clear" w:color="000000" w:fill="808080"/>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1"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16"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545"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c>
          <w:tcPr>
            <w:tcW w:w="633" w:type="dxa"/>
            <w:tcBorders>
              <w:top w:val="nil"/>
              <w:left w:val="nil"/>
              <w:bottom w:val="single" w:sz="4" w:space="0" w:color="auto"/>
              <w:right w:val="single" w:sz="4" w:space="0" w:color="auto"/>
            </w:tcBorders>
            <w:shd w:val="clear" w:color="auto" w:fill="auto"/>
            <w:hideMark/>
          </w:tcPr>
          <w:p w:rsidR="00913351" w:rsidRPr="006A6CE3" w:rsidRDefault="00913351" w:rsidP="00E204D9">
            <w:pPr>
              <w:pStyle w:val="NoSpacing"/>
              <w:rPr>
                <w:rFonts w:ascii="Arial" w:hAnsi="Arial" w:cs="Arial"/>
                <w:sz w:val="24"/>
                <w:lang w:eastAsia="en-GB"/>
              </w:rPr>
            </w:pPr>
            <w:r w:rsidRPr="006A6CE3">
              <w:rPr>
                <w:rFonts w:ascii="Arial" w:hAnsi="Arial" w:cs="Arial"/>
                <w:sz w:val="24"/>
                <w:lang w:eastAsia="en-GB"/>
              </w:rPr>
              <w:t> </w:t>
            </w:r>
          </w:p>
        </w:tc>
      </w:tr>
    </w:tbl>
    <w:p w:rsidR="00913351" w:rsidRPr="006A6CE3" w:rsidRDefault="00913351" w:rsidP="00E204D9">
      <w:pPr>
        <w:rPr>
          <w:rFonts w:cs="Arial"/>
          <w:sz w:val="20"/>
          <w:szCs w:val="20"/>
        </w:rPr>
      </w:pPr>
      <w:r w:rsidRPr="006A6CE3">
        <w:rPr>
          <w:rFonts w:cs="Arial"/>
          <w:sz w:val="20"/>
          <w:szCs w:val="20"/>
        </w:rPr>
        <w:t>Source: Greenhouse Gas Inventory Reference Manual, Revised 1996 IPCC Guidelines for National Greenhouse Gas Inventories (IPCC, 1997) adapted for UK processes by AEA.</w:t>
      </w:r>
    </w:p>
    <w:p w:rsidR="00913351" w:rsidRPr="006A6CE3" w:rsidRDefault="00913351" w:rsidP="00E204D9">
      <w:pPr>
        <w:rPr>
          <w:rFonts w:cs="Arial"/>
          <w:szCs w:val="24"/>
        </w:rPr>
      </w:pPr>
      <w:r w:rsidRPr="006A6CE3">
        <w:rPr>
          <w:rFonts w:cs="Arial"/>
          <w:szCs w:val="24"/>
        </w:rPr>
        <w:t>If you have identified process emissions of GHG other than those covered in this Annex these may be converted to carbon dioxide equivalents by using the factors provided in UK Government conversion factors.</w:t>
      </w:r>
    </w:p>
    <w:p w:rsidR="00913351" w:rsidRPr="006A6CE3" w:rsidRDefault="00913351" w:rsidP="00E204D9">
      <w:pPr>
        <w:rPr>
          <w:rFonts w:cs="Arial"/>
          <w:szCs w:val="24"/>
        </w:rPr>
      </w:pPr>
      <w:r w:rsidRPr="006A6CE3">
        <w:rPr>
          <w:rFonts w:cs="Arial"/>
          <w:szCs w:val="24"/>
        </w:rPr>
        <w:br w:type="page"/>
      </w:r>
    </w:p>
    <w:p w:rsidR="00913351" w:rsidRPr="006A6CE3" w:rsidRDefault="00913351" w:rsidP="00EA5B43">
      <w:pPr>
        <w:pStyle w:val="Heading2"/>
      </w:pPr>
      <w:bookmarkStart w:id="293" w:name="_Toc358054595"/>
      <w:bookmarkStart w:id="294" w:name="_Toc358060235"/>
      <w:bookmarkStart w:id="295" w:name="_Toc358302308"/>
      <w:bookmarkStart w:id="296" w:name="_Toc380763588"/>
      <w:r w:rsidRPr="006A6CE3">
        <w:lastRenderedPageBreak/>
        <w:t>Annex C: GHG Emissions from Use of Refrigeration, Air Conditioning Equipment and Heat Pumps</w:t>
      </w:r>
      <w:bookmarkEnd w:id="293"/>
      <w:bookmarkEnd w:id="294"/>
      <w:bookmarkEnd w:id="295"/>
      <w:bookmarkEnd w:id="296"/>
    </w:p>
    <w:p w:rsidR="00913351" w:rsidRPr="006A6CE3" w:rsidRDefault="00913351" w:rsidP="00FB554B">
      <w:pPr>
        <w:rPr>
          <w:rFonts w:cs="Arial"/>
        </w:rPr>
      </w:pPr>
      <w:r w:rsidRPr="006A6CE3">
        <w:rPr>
          <w:rFonts w:cs="Arial"/>
        </w:rPr>
        <w:t xml:space="preserve">Air conditioning and refrigerators can leak leading to GHG emissions. If you own or control the equipment, you should report the emissions under </w:t>
      </w:r>
      <w:r w:rsidR="00685E60">
        <w:rPr>
          <w:rFonts w:cs="Arial"/>
        </w:rPr>
        <w:t>Scope</w:t>
      </w:r>
      <w:r w:rsidRPr="006A6CE3">
        <w:rPr>
          <w:rFonts w:cs="Arial"/>
        </w:rPr>
        <w:t xml:space="preserve"> 1.   However, these emissions m</w:t>
      </w:r>
      <w:r w:rsidR="00FB554B" w:rsidRPr="006A6CE3">
        <w:rPr>
          <w:rFonts w:cs="Arial"/>
        </w:rPr>
        <w:t xml:space="preserve">ay fall into </w:t>
      </w:r>
      <w:r w:rsidR="00685E60">
        <w:rPr>
          <w:rFonts w:cs="Arial"/>
        </w:rPr>
        <w:t>Scope</w:t>
      </w:r>
      <w:r w:rsidRPr="006A6CE3">
        <w:rPr>
          <w:rFonts w:cs="Arial"/>
        </w:rPr>
        <w:t xml:space="preserve"> 3 for other companies benefitting from the equipment. </w:t>
      </w:r>
    </w:p>
    <w:p w:rsidR="00913351" w:rsidRPr="006A6CE3" w:rsidRDefault="00913351" w:rsidP="00FB554B">
      <w:pPr>
        <w:rPr>
          <w:rFonts w:cs="Arial"/>
        </w:rPr>
      </w:pPr>
      <w:r w:rsidRPr="006A6CE3">
        <w:rPr>
          <w:rFonts w:cs="Arial"/>
        </w:rPr>
        <w:t xml:space="preserve">There are two methods presented here for the estimation of emissions from the use of refrigeration, air conditioning equipment and heat pumps. For smaller users, the Screening Method will likely be the easiest way to calculate their emissions.  Some larger users of refrigerant should have the information necessary to perform a more accurate estimation using the Simplified Material Balance Method.  </w:t>
      </w:r>
    </w:p>
    <w:p w:rsidR="00913351" w:rsidRPr="006A6CE3" w:rsidRDefault="00913351" w:rsidP="00E204D9">
      <w:pPr>
        <w:tabs>
          <w:tab w:val="left" w:pos="851"/>
        </w:tabs>
        <w:rPr>
          <w:rFonts w:cs="Arial"/>
        </w:rPr>
      </w:pPr>
      <w:r w:rsidRPr="006A6CE3">
        <w:rPr>
          <w:rFonts w:cs="Arial"/>
        </w:rPr>
        <w:t>Please note</w:t>
      </w:r>
      <w:proofErr w:type="gramStart"/>
      <w:r w:rsidRPr="006A6CE3">
        <w:rPr>
          <w:rFonts w:cs="Arial"/>
        </w:rPr>
        <w:t>,</w:t>
      </w:r>
      <w:proofErr w:type="gramEnd"/>
      <w:r w:rsidRPr="006A6CE3">
        <w:rPr>
          <w:rFonts w:cs="Arial"/>
        </w:rPr>
        <w:t xml:space="preserve"> there are also regulatory requirements governing the operation of stationary equipment using fluorinated greenhouse gases.  See information on F-gas regulations on the Defra website. </w:t>
      </w:r>
    </w:p>
    <w:p w:rsidR="00913351" w:rsidRPr="006A6CE3" w:rsidRDefault="00913351" w:rsidP="00E204D9">
      <w:pPr>
        <w:pStyle w:val="Heading4"/>
        <w:tabs>
          <w:tab w:val="left" w:pos="851"/>
        </w:tabs>
        <w:rPr>
          <w:rFonts w:cs="Arial"/>
          <w:i w:val="0"/>
          <w:color w:val="76923C"/>
          <w:sz w:val="28"/>
          <w:szCs w:val="28"/>
        </w:rPr>
      </w:pPr>
      <w:bookmarkStart w:id="297" w:name="_Toc343016865"/>
      <w:bookmarkStart w:id="298" w:name="_Toc227061267"/>
      <w:bookmarkStart w:id="299" w:name="_Toc227061606"/>
      <w:bookmarkStart w:id="300" w:name="_Toc227061741"/>
      <w:bookmarkStart w:id="301" w:name="_Toc227062164"/>
      <w:r w:rsidRPr="006A6CE3">
        <w:rPr>
          <w:rFonts w:cs="Arial"/>
          <w:i w:val="0"/>
          <w:color w:val="76923C"/>
          <w:sz w:val="28"/>
          <w:szCs w:val="28"/>
        </w:rPr>
        <w:t>Screening Method</w:t>
      </w:r>
    </w:p>
    <w:p w:rsidR="00913351" w:rsidRPr="006A6CE3" w:rsidRDefault="00913351" w:rsidP="00E204D9">
      <w:pPr>
        <w:tabs>
          <w:tab w:val="left" w:pos="851"/>
        </w:tabs>
        <w:rPr>
          <w:rFonts w:cs="Arial"/>
        </w:rPr>
      </w:pPr>
      <w:r w:rsidRPr="006A6CE3">
        <w:rPr>
          <w:rFonts w:cs="Arial"/>
        </w:rPr>
        <w:t xml:space="preserve">This Screening Method will help you to estimate emissions from refrigeration, air conditioning and heat pumps based on the type of equipment used and emissions factors. This approach requires relatively little actual data collection because default factors are used instead e.g. installation emission factors, annual leak rate. However there is a high degree of uncertainty with these factors. Therefore if emissions from this equipment are determined to be significant when compared to your </w:t>
      </w:r>
      <w:proofErr w:type="gramStart"/>
      <w:r w:rsidRPr="006A6CE3">
        <w:rPr>
          <w:rFonts w:cs="Arial"/>
        </w:rPr>
        <w:t>organisation's</w:t>
      </w:r>
      <w:proofErr w:type="gramEnd"/>
      <w:r w:rsidRPr="006A6CE3">
        <w:rPr>
          <w:rFonts w:cs="Arial"/>
        </w:rPr>
        <w:t xml:space="preserve"> other emissions sources, then you should apply a better estimation method (e.g. a Material Balance Method). </w:t>
      </w:r>
    </w:p>
    <w:p w:rsidR="00913351" w:rsidRPr="006A6CE3" w:rsidRDefault="00913351" w:rsidP="00E204D9">
      <w:pPr>
        <w:tabs>
          <w:tab w:val="left" w:pos="851"/>
        </w:tabs>
        <w:rPr>
          <w:rFonts w:cs="Arial"/>
        </w:rPr>
      </w:pPr>
      <w:r w:rsidRPr="006A6CE3">
        <w:rPr>
          <w:rFonts w:cs="Arial"/>
        </w:rPr>
        <w:t>To complete these tables you will need to:</w:t>
      </w:r>
    </w:p>
    <w:p w:rsidR="00913351" w:rsidRPr="006A6CE3" w:rsidRDefault="00913351" w:rsidP="0086258B">
      <w:pPr>
        <w:numPr>
          <w:ilvl w:val="0"/>
          <w:numId w:val="24"/>
        </w:numPr>
        <w:tabs>
          <w:tab w:val="left" w:pos="851"/>
        </w:tabs>
        <w:spacing w:before="200" w:after="200"/>
        <w:rPr>
          <w:rFonts w:cs="Arial"/>
          <w:b/>
        </w:rPr>
      </w:pPr>
      <w:r w:rsidRPr="006A6CE3">
        <w:rPr>
          <w:rFonts w:cs="Arial"/>
          <w:b/>
        </w:rPr>
        <w:t>Carry out an inventory of equipment</w:t>
      </w:r>
    </w:p>
    <w:p w:rsidR="00913351" w:rsidRPr="006A6CE3" w:rsidRDefault="00913351" w:rsidP="00E204D9">
      <w:pPr>
        <w:tabs>
          <w:tab w:val="left" w:pos="851"/>
        </w:tabs>
        <w:ind w:left="720"/>
        <w:rPr>
          <w:rFonts w:cs="Arial"/>
        </w:rPr>
      </w:pPr>
      <w:r w:rsidRPr="006A6CE3">
        <w:rPr>
          <w:rFonts w:cs="Arial"/>
        </w:rPr>
        <w:t>Find out the following information on refrigerant type and charge capacity.</w:t>
      </w:r>
    </w:p>
    <w:p w:rsidR="00913351" w:rsidRPr="006A6CE3" w:rsidRDefault="00913351" w:rsidP="0086258B">
      <w:pPr>
        <w:numPr>
          <w:ilvl w:val="0"/>
          <w:numId w:val="23"/>
        </w:numPr>
        <w:tabs>
          <w:tab w:val="left" w:pos="851"/>
        </w:tabs>
        <w:spacing w:before="200" w:after="200"/>
        <w:rPr>
          <w:rFonts w:cs="Arial"/>
        </w:rPr>
      </w:pPr>
      <w:r w:rsidRPr="006A6CE3">
        <w:rPr>
          <w:rFonts w:cs="Arial"/>
        </w:rPr>
        <w:t>the number and types of each refrigeration/air conditioning/heat pump unit;</w:t>
      </w:r>
    </w:p>
    <w:p w:rsidR="00913351" w:rsidRPr="006A6CE3" w:rsidRDefault="00913351" w:rsidP="0086258B">
      <w:pPr>
        <w:numPr>
          <w:ilvl w:val="0"/>
          <w:numId w:val="23"/>
        </w:numPr>
        <w:tabs>
          <w:tab w:val="left" w:pos="851"/>
        </w:tabs>
        <w:spacing w:before="200" w:after="200"/>
        <w:rPr>
          <w:rFonts w:cs="Arial"/>
        </w:rPr>
      </w:pPr>
      <w:proofErr w:type="gramStart"/>
      <w:r w:rsidRPr="006A6CE3">
        <w:rPr>
          <w:rFonts w:cs="Arial"/>
        </w:rPr>
        <w:t>the</w:t>
      </w:r>
      <w:proofErr w:type="gramEnd"/>
      <w:r w:rsidRPr="006A6CE3">
        <w:rPr>
          <w:rFonts w:cs="Arial"/>
        </w:rPr>
        <w:t xml:space="preserve"> type of refrigerant used (e.g. HFC 134a, R404a, etc</w:t>
      </w:r>
      <w:r w:rsidR="009C72E8">
        <w:rPr>
          <w:rFonts w:cs="Arial"/>
        </w:rPr>
        <w:t>.</w:t>
      </w:r>
      <w:r w:rsidRPr="006A6CE3">
        <w:rPr>
          <w:rFonts w:cs="Arial"/>
        </w:rPr>
        <w:t>);</w:t>
      </w:r>
    </w:p>
    <w:p w:rsidR="00913351" w:rsidRPr="006A6CE3" w:rsidRDefault="00913351" w:rsidP="0086258B">
      <w:pPr>
        <w:numPr>
          <w:ilvl w:val="0"/>
          <w:numId w:val="23"/>
        </w:numPr>
        <w:tabs>
          <w:tab w:val="left" w:pos="851"/>
        </w:tabs>
        <w:spacing w:before="200" w:after="200"/>
        <w:rPr>
          <w:rFonts w:cs="Arial"/>
        </w:rPr>
      </w:pPr>
      <w:r w:rsidRPr="006A6CE3">
        <w:rPr>
          <w:rFonts w:cs="Arial"/>
        </w:rPr>
        <w:lastRenderedPageBreak/>
        <w:t xml:space="preserve"> </w:t>
      </w:r>
      <w:proofErr w:type="gramStart"/>
      <w:r w:rsidRPr="006A6CE3">
        <w:rPr>
          <w:rFonts w:cs="Arial"/>
        </w:rPr>
        <w:t>the</w:t>
      </w:r>
      <w:proofErr w:type="gramEnd"/>
      <w:r w:rsidRPr="006A6CE3">
        <w:rPr>
          <w:rFonts w:cs="Arial"/>
        </w:rPr>
        <w:t xml:space="preserve"> total charge capacity of each piece of equipment (charge capacity is the mass of refrigerant used in the equipment). Typical values are shown below:</w:t>
      </w:r>
    </w:p>
    <w:tbl>
      <w:tblPr>
        <w:tblW w:w="7560" w:type="dxa"/>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6000"/>
        <w:gridCol w:w="1560"/>
      </w:tblGrid>
      <w:tr w:rsidR="00913351" w:rsidRPr="006A6CE3" w:rsidTr="00AA48B1">
        <w:trPr>
          <w:trHeight w:val="255"/>
        </w:trPr>
        <w:tc>
          <w:tcPr>
            <w:tcW w:w="7560" w:type="dxa"/>
            <w:gridSpan w:val="2"/>
            <w:shd w:val="clear" w:color="auto" w:fill="878800"/>
            <w:noWrap/>
            <w:hideMark/>
          </w:tcPr>
          <w:p w:rsidR="00913351" w:rsidRPr="006A6CE3" w:rsidRDefault="00913351" w:rsidP="00AA48B1">
            <w:pPr>
              <w:tabs>
                <w:tab w:val="left" w:pos="851"/>
              </w:tabs>
              <w:spacing w:before="0" w:after="0" w:line="240" w:lineRule="auto"/>
              <w:rPr>
                <w:rFonts w:cs="Arial"/>
                <w:b/>
                <w:bCs/>
                <w:color w:val="FFFFFF"/>
                <w:sz w:val="20"/>
                <w:lang w:eastAsia="en-GB"/>
              </w:rPr>
            </w:pPr>
            <w:r w:rsidRPr="006A6CE3">
              <w:rPr>
                <w:rFonts w:cs="Arial"/>
                <w:b/>
                <w:bCs/>
                <w:color w:val="FFFFFF"/>
                <w:sz w:val="20"/>
                <w:lang w:eastAsia="en-GB"/>
              </w:rPr>
              <w:t>Typical Charge Capacity for Equipment</w:t>
            </w:r>
          </w:p>
        </w:tc>
      </w:tr>
      <w:tr w:rsidR="00913351" w:rsidRPr="006A6CE3" w:rsidTr="00AA48B1">
        <w:trPr>
          <w:trHeight w:val="765"/>
        </w:trPr>
        <w:tc>
          <w:tcPr>
            <w:tcW w:w="6000" w:type="dxa"/>
            <w:shd w:val="clear" w:color="auto" w:fill="FFFFFF"/>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Type of Equipment</w:t>
            </w:r>
          </w:p>
        </w:tc>
        <w:tc>
          <w:tcPr>
            <w:tcW w:w="1560"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Typical Range in Charge Capacity (kg)</w:t>
            </w:r>
          </w:p>
        </w:tc>
      </w:tr>
      <w:tr w:rsidR="00913351" w:rsidRPr="006A6CE3" w:rsidTr="00AA48B1">
        <w:trPr>
          <w:trHeight w:val="255"/>
        </w:trPr>
        <w:tc>
          <w:tcPr>
            <w:tcW w:w="6000" w:type="dxa"/>
            <w:shd w:val="clear" w:color="auto" w:fill="FFFFFF"/>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Domestic Refrigeration</w:t>
            </w:r>
          </w:p>
        </w:tc>
        <w:tc>
          <w:tcPr>
            <w:tcW w:w="1560" w:type="dxa"/>
            <w:shd w:val="clear" w:color="auto" w:fill="auto"/>
            <w:noWrap/>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0.05-0.5</w:t>
            </w:r>
          </w:p>
        </w:tc>
      </w:tr>
      <w:tr w:rsidR="00913351" w:rsidRPr="006A6CE3" w:rsidTr="00AA48B1">
        <w:trPr>
          <w:trHeight w:val="255"/>
        </w:trPr>
        <w:tc>
          <w:tcPr>
            <w:tcW w:w="6000" w:type="dxa"/>
            <w:shd w:val="clear" w:color="auto" w:fill="FFFFFF"/>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Small Hermetic Stand-Alone Refrigeration Units</w:t>
            </w:r>
          </w:p>
        </w:tc>
        <w:tc>
          <w:tcPr>
            <w:tcW w:w="1560" w:type="dxa"/>
            <w:shd w:val="clear" w:color="auto" w:fill="auto"/>
            <w:noWrap/>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0.2-6.0</w:t>
            </w:r>
          </w:p>
        </w:tc>
      </w:tr>
      <w:tr w:rsidR="00913351" w:rsidRPr="006A6CE3" w:rsidTr="00AA48B1">
        <w:trPr>
          <w:trHeight w:val="255"/>
        </w:trPr>
        <w:tc>
          <w:tcPr>
            <w:tcW w:w="6000" w:type="dxa"/>
            <w:shd w:val="clear" w:color="auto" w:fill="FFFFFF"/>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Condensing Units</w:t>
            </w:r>
          </w:p>
        </w:tc>
        <w:tc>
          <w:tcPr>
            <w:tcW w:w="1560" w:type="dxa"/>
            <w:shd w:val="clear" w:color="auto" w:fill="auto"/>
            <w:noWrap/>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50-2,000</w:t>
            </w:r>
          </w:p>
        </w:tc>
      </w:tr>
      <w:tr w:rsidR="00913351" w:rsidRPr="006A6CE3" w:rsidTr="00AA48B1">
        <w:trPr>
          <w:trHeight w:val="255"/>
        </w:trPr>
        <w:tc>
          <w:tcPr>
            <w:tcW w:w="6000" w:type="dxa"/>
            <w:shd w:val="clear" w:color="auto" w:fill="FFFFFF"/>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Centralised Supermarket Refrigeration Systems</w:t>
            </w:r>
          </w:p>
        </w:tc>
        <w:tc>
          <w:tcPr>
            <w:tcW w:w="1560" w:type="dxa"/>
            <w:shd w:val="clear" w:color="auto" w:fill="auto"/>
            <w:noWrap/>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50-2,000</w:t>
            </w:r>
          </w:p>
        </w:tc>
      </w:tr>
      <w:tr w:rsidR="00913351" w:rsidRPr="006A6CE3" w:rsidTr="00AA48B1">
        <w:trPr>
          <w:trHeight w:val="255"/>
        </w:trPr>
        <w:tc>
          <w:tcPr>
            <w:tcW w:w="6000" w:type="dxa"/>
            <w:shd w:val="clear" w:color="auto" w:fill="FFFFFF"/>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Industrial Systems</w:t>
            </w:r>
          </w:p>
        </w:tc>
        <w:tc>
          <w:tcPr>
            <w:tcW w:w="1560" w:type="dxa"/>
            <w:shd w:val="clear" w:color="auto" w:fill="auto"/>
            <w:noWrap/>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10-10,000</w:t>
            </w:r>
          </w:p>
        </w:tc>
      </w:tr>
      <w:tr w:rsidR="00913351" w:rsidRPr="006A6CE3" w:rsidTr="00AA48B1">
        <w:trPr>
          <w:trHeight w:val="255"/>
        </w:trPr>
        <w:tc>
          <w:tcPr>
            <w:tcW w:w="6000" w:type="dxa"/>
            <w:shd w:val="clear" w:color="auto" w:fill="FFFFFF"/>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Small Stationary Air Conditioning</w:t>
            </w:r>
          </w:p>
        </w:tc>
        <w:tc>
          <w:tcPr>
            <w:tcW w:w="1560" w:type="dxa"/>
            <w:shd w:val="clear" w:color="auto" w:fill="auto"/>
            <w:noWrap/>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0.5-100</w:t>
            </w:r>
          </w:p>
        </w:tc>
      </w:tr>
      <w:tr w:rsidR="00913351" w:rsidRPr="006A6CE3" w:rsidTr="00AA48B1">
        <w:trPr>
          <w:trHeight w:val="255"/>
        </w:trPr>
        <w:tc>
          <w:tcPr>
            <w:tcW w:w="6000" w:type="dxa"/>
            <w:shd w:val="clear" w:color="auto" w:fill="FFFFFF"/>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Medium Stationary Air Conditioning</w:t>
            </w:r>
          </w:p>
        </w:tc>
        <w:tc>
          <w:tcPr>
            <w:tcW w:w="1560" w:type="dxa"/>
            <w:shd w:val="clear" w:color="auto" w:fill="auto"/>
            <w:noWrap/>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0.5-100</w:t>
            </w:r>
          </w:p>
        </w:tc>
      </w:tr>
      <w:tr w:rsidR="00913351" w:rsidRPr="006A6CE3" w:rsidTr="00AA48B1">
        <w:trPr>
          <w:trHeight w:val="255"/>
        </w:trPr>
        <w:tc>
          <w:tcPr>
            <w:tcW w:w="6000" w:type="dxa"/>
            <w:shd w:val="clear" w:color="auto" w:fill="FFFFFF"/>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Large Stationary Air Conditioning (Chillers)</w:t>
            </w:r>
          </w:p>
        </w:tc>
        <w:tc>
          <w:tcPr>
            <w:tcW w:w="1560" w:type="dxa"/>
            <w:shd w:val="clear" w:color="auto" w:fill="auto"/>
            <w:noWrap/>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10-2,000</w:t>
            </w:r>
          </w:p>
        </w:tc>
      </w:tr>
      <w:tr w:rsidR="00913351" w:rsidRPr="006A6CE3" w:rsidTr="00AA48B1">
        <w:trPr>
          <w:trHeight w:val="255"/>
        </w:trPr>
        <w:tc>
          <w:tcPr>
            <w:tcW w:w="6000" w:type="dxa"/>
            <w:shd w:val="clear" w:color="auto" w:fill="FFFFFF"/>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Heat Pumps</w:t>
            </w:r>
          </w:p>
        </w:tc>
        <w:tc>
          <w:tcPr>
            <w:tcW w:w="1560" w:type="dxa"/>
            <w:shd w:val="clear" w:color="auto" w:fill="auto"/>
            <w:noWrap/>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0.5-100</w:t>
            </w:r>
          </w:p>
        </w:tc>
      </w:tr>
      <w:tr w:rsidR="00913351" w:rsidRPr="006A6CE3" w:rsidTr="00AA48B1">
        <w:trPr>
          <w:trHeight w:val="255"/>
        </w:trPr>
        <w:tc>
          <w:tcPr>
            <w:tcW w:w="6000" w:type="dxa"/>
            <w:shd w:val="clear" w:color="auto" w:fill="FFFFFF"/>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Land Transport Refrigeration</w:t>
            </w:r>
          </w:p>
        </w:tc>
        <w:tc>
          <w:tcPr>
            <w:tcW w:w="1560" w:type="dxa"/>
            <w:shd w:val="clear" w:color="auto" w:fill="auto"/>
            <w:noWrap/>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3 - 8</w:t>
            </w:r>
          </w:p>
        </w:tc>
      </w:tr>
      <w:tr w:rsidR="00913351" w:rsidRPr="006A6CE3" w:rsidTr="00AA48B1">
        <w:trPr>
          <w:trHeight w:val="255"/>
        </w:trPr>
        <w:tc>
          <w:tcPr>
            <w:tcW w:w="6000" w:type="dxa"/>
            <w:shd w:val="clear" w:color="auto" w:fill="FFFFFF"/>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Marine Transport Refrigeration</w:t>
            </w:r>
          </w:p>
        </w:tc>
        <w:tc>
          <w:tcPr>
            <w:tcW w:w="1560" w:type="dxa"/>
            <w:shd w:val="clear" w:color="auto" w:fill="auto"/>
            <w:noWrap/>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3 - 8</w:t>
            </w:r>
          </w:p>
        </w:tc>
      </w:tr>
      <w:tr w:rsidR="00913351" w:rsidRPr="006A6CE3" w:rsidTr="00AA48B1">
        <w:trPr>
          <w:trHeight w:val="255"/>
        </w:trPr>
        <w:tc>
          <w:tcPr>
            <w:tcW w:w="6000" w:type="dxa"/>
            <w:shd w:val="clear" w:color="auto" w:fill="FFFFFF"/>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Light-Duty Mobile Air Conditioning</w:t>
            </w:r>
          </w:p>
        </w:tc>
        <w:tc>
          <w:tcPr>
            <w:tcW w:w="1560" w:type="dxa"/>
            <w:shd w:val="clear" w:color="auto" w:fill="auto"/>
            <w:noWrap/>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0.5-1.5</w:t>
            </w:r>
          </w:p>
        </w:tc>
      </w:tr>
      <w:tr w:rsidR="00913351" w:rsidRPr="006A6CE3" w:rsidTr="00AA48B1">
        <w:trPr>
          <w:trHeight w:val="255"/>
        </w:trPr>
        <w:tc>
          <w:tcPr>
            <w:tcW w:w="6000" w:type="dxa"/>
            <w:shd w:val="clear" w:color="auto" w:fill="FFFFFF"/>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Other Mobile Air Conditioning</w:t>
            </w:r>
          </w:p>
        </w:tc>
        <w:tc>
          <w:tcPr>
            <w:tcW w:w="1560" w:type="dxa"/>
            <w:shd w:val="clear" w:color="auto" w:fill="auto"/>
            <w:noWrap/>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0.5-1.5</w:t>
            </w:r>
          </w:p>
        </w:tc>
      </w:tr>
    </w:tbl>
    <w:p w:rsidR="00913351" w:rsidRPr="006A6CE3" w:rsidRDefault="00913351" w:rsidP="00E204D9">
      <w:pPr>
        <w:tabs>
          <w:tab w:val="left" w:pos="851"/>
        </w:tabs>
        <w:ind w:left="1080"/>
        <w:rPr>
          <w:rFonts w:cs="Arial"/>
        </w:rPr>
      </w:pPr>
    </w:p>
    <w:p w:rsidR="00913351" w:rsidRPr="006A6CE3" w:rsidRDefault="00913351" w:rsidP="0086258B">
      <w:pPr>
        <w:numPr>
          <w:ilvl w:val="0"/>
          <w:numId w:val="23"/>
        </w:numPr>
        <w:tabs>
          <w:tab w:val="left" w:pos="851"/>
        </w:tabs>
        <w:spacing w:before="200" w:after="200"/>
        <w:rPr>
          <w:rFonts w:cs="Arial"/>
        </w:rPr>
      </w:pPr>
      <w:r w:rsidRPr="006A6CE3">
        <w:rPr>
          <w:rFonts w:cs="Arial"/>
        </w:rPr>
        <w:t xml:space="preserve"> the time in years used during the reporting period (e.g. 0.5 if used only during half of the reporting period then disposed);</w:t>
      </w:r>
    </w:p>
    <w:p w:rsidR="002853B4" w:rsidRPr="006A6CE3" w:rsidRDefault="00913351" w:rsidP="0086258B">
      <w:pPr>
        <w:numPr>
          <w:ilvl w:val="0"/>
          <w:numId w:val="24"/>
        </w:numPr>
        <w:tabs>
          <w:tab w:val="left" w:pos="851"/>
        </w:tabs>
        <w:spacing w:before="200" w:after="200"/>
        <w:rPr>
          <w:rFonts w:cs="Arial"/>
        </w:rPr>
      </w:pPr>
      <w:r w:rsidRPr="006A6CE3">
        <w:rPr>
          <w:rFonts w:cs="Arial"/>
        </w:rPr>
        <w:t xml:space="preserve">Once you know the refrigerant type, please refer to the UK Government Conversion Factors to identify its Global Warming Potential (GWP). </w:t>
      </w:r>
    </w:p>
    <w:p w:rsidR="00913351" w:rsidRPr="006A6CE3" w:rsidRDefault="00913351" w:rsidP="0086258B">
      <w:pPr>
        <w:numPr>
          <w:ilvl w:val="0"/>
          <w:numId w:val="24"/>
        </w:numPr>
        <w:tabs>
          <w:tab w:val="left" w:pos="851"/>
        </w:tabs>
        <w:spacing w:before="200" w:after="200"/>
        <w:rPr>
          <w:rFonts w:cs="Arial"/>
        </w:rPr>
      </w:pPr>
      <w:r w:rsidRPr="006A6CE3">
        <w:rPr>
          <w:rFonts w:cs="Arial"/>
          <w:b/>
        </w:rPr>
        <w:t>Determine installation emissions</w:t>
      </w:r>
    </w:p>
    <w:p w:rsidR="00913351" w:rsidRPr="006A6CE3" w:rsidRDefault="00913351" w:rsidP="00E204D9">
      <w:pPr>
        <w:tabs>
          <w:tab w:val="left" w:pos="851"/>
        </w:tabs>
        <w:ind w:left="720"/>
        <w:rPr>
          <w:rFonts w:cs="Arial"/>
        </w:rPr>
      </w:pPr>
      <w:r w:rsidRPr="006A6CE3">
        <w:rPr>
          <w:rFonts w:cs="Arial"/>
        </w:rPr>
        <w:t>Identify any new equipment that was installed during the reporting period and was charged (filled) on-site. The typical amount is shown in the column headed “Installation Emissions Factor %”. Emissions from equipment that was charged by the manufacturer are not the responsibility of your organisation. For each new piece of equipment charged on-site estimate emissions:</w:t>
      </w:r>
    </w:p>
    <w:p w:rsidR="00913351" w:rsidRPr="006A6CE3" w:rsidRDefault="00913351" w:rsidP="00E204D9">
      <w:pPr>
        <w:tabs>
          <w:tab w:val="left" w:pos="851"/>
        </w:tabs>
        <w:ind w:left="720"/>
        <w:rPr>
          <w:rFonts w:cs="Arial"/>
        </w:rPr>
      </w:pPr>
    </w:p>
    <w:p w:rsidR="00913351" w:rsidRPr="006A6CE3" w:rsidRDefault="00913351" w:rsidP="00E204D9">
      <w:pPr>
        <w:tabs>
          <w:tab w:val="left" w:pos="851"/>
        </w:tabs>
        <w:ind w:left="720"/>
        <w:rPr>
          <w:rFonts w:cs="Arial"/>
        </w:rPr>
      </w:pPr>
    </w:p>
    <w:p w:rsidR="00913351" w:rsidRPr="006A6CE3" w:rsidRDefault="00913351" w:rsidP="00E204D9">
      <w:pPr>
        <w:tabs>
          <w:tab w:val="left" w:pos="851"/>
        </w:tabs>
        <w:ind w:left="720"/>
        <w:rPr>
          <w:rFonts w:cs="Arial"/>
        </w:rPr>
        <w:sectPr w:rsidR="00913351" w:rsidRPr="006A6CE3" w:rsidSect="00913351">
          <w:pgSz w:w="11906" w:h="16838" w:code="9"/>
          <w:pgMar w:top="1440" w:right="1797" w:bottom="284" w:left="1797" w:header="709" w:footer="709" w:gutter="0"/>
          <w:pgBorders w:offsetFrom="page">
            <w:top w:val="single" w:sz="4" w:space="24" w:color="auto"/>
          </w:pgBorders>
          <w:cols w:space="708"/>
          <w:docGrid w:linePitch="360"/>
        </w:sectPr>
      </w:pPr>
    </w:p>
    <w:tbl>
      <w:tblPr>
        <w:tblpPr w:leftFromText="180" w:rightFromText="180" w:horzAnchor="margin" w:tblpY="386"/>
        <w:tblW w:w="3751" w:type="pct"/>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4114"/>
        <w:gridCol w:w="928"/>
        <w:gridCol w:w="316"/>
        <w:gridCol w:w="1322"/>
        <w:gridCol w:w="316"/>
        <w:gridCol w:w="1287"/>
        <w:gridCol w:w="316"/>
        <w:gridCol w:w="1301"/>
        <w:gridCol w:w="334"/>
        <w:gridCol w:w="1267"/>
      </w:tblGrid>
      <w:tr w:rsidR="00913351" w:rsidRPr="006A6CE3" w:rsidTr="00AA48B1">
        <w:trPr>
          <w:trHeight w:val="765"/>
        </w:trPr>
        <w:tc>
          <w:tcPr>
            <w:tcW w:w="5000" w:type="pct"/>
            <w:gridSpan w:val="10"/>
            <w:shd w:val="clear" w:color="auto" w:fill="878800"/>
            <w:noWrap/>
            <w:hideMark/>
          </w:tcPr>
          <w:p w:rsidR="00913351" w:rsidRPr="006A6CE3" w:rsidRDefault="00913351" w:rsidP="00AA48B1">
            <w:pPr>
              <w:spacing w:before="0" w:after="0" w:line="240" w:lineRule="auto"/>
              <w:rPr>
                <w:rFonts w:cs="Arial"/>
                <w:color w:val="000000"/>
                <w:sz w:val="20"/>
                <w:lang w:eastAsia="en-GB"/>
              </w:rPr>
            </w:pPr>
            <w:r w:rsidRPr="006A6CE3">
              <w:rPr>
                <w:rFonts w:cs="Arial"/>
                <w:b/>
                <w:bCs/>
                <w:color w:val="FFFFFF"/>
                <w:sz w:val="20"/>
                <w:lang w:eastAsia="en-GB"/>
              </w:rPr>
              <w:lastRenderedPageBreak/>
              <w:t>Emissions from Installation of Refrigeration and Air-conditioning Equipment</w:t>
            </w:r>
          </w:p>
        </w:tc>
      </w:tr>
      <w:tr w:rsidR="00C64465" w:rsidRPr="006A6CE3" w:rsidTr="00BB1885">
        <w:trPr>
          <w:trHeight w:val="765"/>
        </w:trPr>
        <w:tc>
          <w:tcPr>
            <w:tcW w:w="1789" w:type="pct"/>
            <w:shd w:val="clear" w:color="auto" w:fill="FFFFFF"/>
            <w:noWrap/>
            <w:hideMark/>
          </w:tcPr>
          <w:p w:rsidR="00913351" w:rsidRPr="006A6CE3" w:rsidRDefault="00913351" w:rsidP="00AA48B1">
            <w:pPr>
              <w:spacing w:before="0" w:after="0" w:line="240" w:lineRule="auto"/>
              <w:rPr>
                <w:rFonts w:cs="Arial"/>
                <w:color w:val="000000"/>
                <w:sz w:val="20"/>
                <w:lang w:eastAsia="en-GB"/>
              </w:rPr>
            </w:pPr>
            <w:r w:rsidRPr="006A6CE3">
              <w:rPr>
                <w:rFonts w:cs="Arial"/>
                <w:color w:val="000000"/>
                <w:sz w:val="20"/>
                <w:lang w:eastAsia="en-GB"/>
              </w:rPr>
              <w:t>Type of Equipment</w:t>
            </w:r>
          </w:p>
        </w:tc>
        <w:tc>
          <w:tcPr>
            <w:tcW w:w="403" w:type="pct"/>
            <w:shd w:val="clear" w:color="auto" w:fill="auto"/>
            <w:hideMark/>
          </w:tcPr>
          <w:p w:rsidR="00913351" w:rsidRPr="006A6CE3" w:rsidRDefault="00913351" w:rsidP="00AA48B1">
            <w:pPr>
              <w:spacing w:before="0" w:after="0" w:line="240" w:lineRule="auto"/>
              <w:rPr>
                <w:rFonts w:cs="Arial"/>
                <w:color w:val="000000"/>
                <w:sz w:val="20"/>
                <w:lang w:eastAsia="en-GB"/>
              </w:rPr>
            </w:pPr>
            <w:r w:rsidRPr="006A6CE3">
              <w:rPr>
                <w:rFonts w:cs="Arial"/>
                <w:color w:val="000000"/>
                <w:sz w:val="20"/>
                <w:lang w:eastAsia="en-GB"/>
              </w:rPr>
              <w:t>Number of Units</w:t>
            </w:r>
          </w:p>
        </w:tc>
        <w:tc>
          <w:tcPr>
            <w:tcW w:w="137" w:type="pct"/>
            <w:shd w:val="clear" w:color="auto" w:fill="auto"/>
            <w:hideMark/>
          </w:tcPr>
          <w:p w:rsidR="00913351" w:rsidRPr="006A6CE3" w:rsidRDefault="00913351" w:rsidP="00AA48B1">
            <w:pPr>
              <w:spacing w:before="0" w:after="0" w:line="240" w:lineRule="auto"/>
              <w:rPr>
                <w:rFonts w:cs="Arial"/>
                <w:color w:val="000000"/>
                <w:sz w:val="20"/>
                <w:lang w:eastAsia="en-GB"/>
              </w:rPr>
            </w:pPr>
            <w:r w:rsidRPr="006A6CE3">
              <w:rPr>
                <w:rFonts w:cs="Arial"/>
                <w:color w:val="000000"/>
                <w:sz w:val="20"/>
                <w:lang w:eastAsia="en-GB"/>
              </w:rPr>
              <w:t>x</w:t>
            </w:r>
          </w:p>
        </w:tc>
        <w:tc>
          <w:tcPr>
            <w:tcW w:w="575" w:type="pct"/>
            <w:shd w:val="clear" w:color="auto" w:fill="auto"/>
            <w:hideMark/>
          </w:tcPr>
          <w:p w:rsidR="00913351" w:rsidRPr="006A6CE3" w:rsidRDefault="00913351" w:rsidP="00AA48B1">
            <w:pPr>
              <w:spacing w:before="0" w:after="0" w:line="240" w:lineRule="auto"/>
              <w:rPr>
                <w:rFonts w:cs="Arial"/>
                <w:color w:val="000000"/>
                <w:sz w:val="20"/>
                <w:lang w:eastAsia="en-GB"/>
              </w:rPr>
            </w:pPr>
            <w:r w:rsidRPr="006A6CE3">
              <w:rPr>
                <w:rFonts w:cs="Arial"/>
                <w:color w:val="000000"/>
                <w:sz w:val="20"/>
                <w:lang w:eastAsia="en-GB"/>
              </w:rPr>
              <w:t>Equipment Charge Capacity (kg)</w:t>
            </w:r>
          </w:p>
        </w:tc>
        <w:tc>
          <w:tcPr>
            <w:tcW w:w="137" w:type="pct"/>
            <w:shd w:val="clear" w:color="auto" w:fill="auto"/>
            <w:hideMark/>
          </w:tcPr>
          <w:p w:rsidR="00913351" w:rsidRPr="006A6CE3" w:rsidRDefault="00913351" w:rsidP="00AA48B1">
            <w:pPr>
              <w:spacing w:before="0" w:after="0" w:line="240" w:lineRule="auto"/>
              <w:rPr>
                <w:rFonts w:cs="Arial"/>
                <w:color w:val="000000"/>
                <w:sz w:val="20"/>
                <w:lang w:eastAsia="en-GB"/>
              </w:rPr>
            </w:pPr>
            <w:r w:rsidRPr="006A6CE3">
              <w:rPr>
                <w:rFonts w:cs="Arial"/>
                <w:color w:val="000000"/>
                <w:sz w:val="20"/>
                <w:lang w:eastAsia="en-GB"/>
              </w:rPr>
              <w:t>x</w:t>
            </w:r>
          </w:p>
        </w:tc>
        <w:tc>
          <w:tcPr>
            <w:tcW w:w="560" w:type="pct"/>
            <w:shd w:val="clear" w:color="auto" w:fill="auto"/>
            <w:hideMark/>
          </w:tcPr>
          <w:p w:rsidR="00913351" w:rsidRPr="006A6CE3" w:rsidRDefault="00913351" w:rsidP="00AA48B1">
            <w:pPr>
              <w:spacing w:before="0" w:after="0" w:line="240" w:lineRule="auto"/>
              <w:rPr>
                <w:rFonts w:cs="Arial"/>
                <w:color w:val="000000"/>
                <w:sz w:val="20"/>
                <w:lang w:eastAsia="en-GB"/>
              </w:rPr>
            </w:pPr>
            <w:r w:rsidRPr="006A6CE3">
              <w:rPr>
                <w:rFonts w:cs="Arial"/>
                <w:color w:val="000000"/>
                <w:sz w:val="20"/>
                <w:lang w:eastAsia="en-GB"/>
              </w:rPr>
              <w:t xml:space="preserve">Installation Emission Factor </w:t>
            </w:r>
          </w:p>
        </w:tc>
        <w:tc>
          <w:tcPr>
            <w:tcW w:w="137" w:type="pct"/>
            <w:shd w:val="clear" w:color="auto" w:fill="auto"/>
            <w:hideMark/>
          </w:tcPr>
          <w:p w:rsidR="00913351" w:rsidRPr="006A6CE3" w:rsidRDefault="00913351" w:rsidP="00AA48B1">
            <w:pPr>
              <w:spacing w:before="0" w:after="0" w:line="240" w:lineRule="auto"/>
              <w:rPr>
                <w:rFonts w:cs="Arial"/>
                <w:color w:val="000000"/>
                <w:sz w:val="20"/>
                <w:lang w:eastAsia="en-GB"/>
              </w:rPr>
            </w:pPr>
            <w:r w:rsidRPr="006A6CE3">
              <w:rPr>
                <w:rFonts w:cs="Arial"/>
                <w:color w:val="000000"/>
                <w:sz w:val="20"/>
                <w:lang w:eastAsia="en-GB"/>
              </w:rPr>
              <w:t>x</w:t>
            </w:r>
          </w:p>
        </w:tc>
        <w:tc>
          <w:tcPr>
            <w:tcW w:w="566" w:type="pct"/>
            <w:shd w:val="clear" w:color="auto" w:fill="auto"/>
            <w:hideMark/>
          </w:tcPr>
          <w:p w:rsidR="00913351" w:rsidRPr="006A6CE3" w:rsidRDefault="00913351" w:rsidP="00AA48B1">
            <w:pPr>
              <w:spacing w:before="0" w:after="0" w:line="240" w:lineRule="auto"/>
              <w:rPr>
                <w:rFonts w:cs="Arial"/>
                <w:color w:val="000000"/>
                <w:sz w:val="20"/>
                <w:lang w:eastAsia="en-GB"/>
              </w:rPr>
            </w:pPr>
            <w:r w:rsidRPr="006A6CE3">
              <w:rPr>
                <w:rFonts w:cs="Arial"/>
                <w:color w:val="000000"/>
                <w:sz w:val="20"/>
                <w:lang w:eastAsia="en-GB"/>
              </w:rPr>
              <w:t xml:space="preserve">Global Warming Potential of refrigerant </w:t>
            </w:r>
            <w:r w:rsidRPr="006A6CE3">
              <w:rPr>
                <w:rStyle w:val="FootnoteReference"/>
                <w:rFonts w:cs="Arial"/>
                <w:color w:val="000000"/>
                <w:sz w:val="20"/>
                <w:lang w:eastAsia="en-GB"/>
              </w:rPr>
              <w:footnoteReference w:id="82"/>
            </w:r>
          </w:p>
        </w:tc>
        <w:tc>
          <w:tcPr>
            <w:tcW w:w="145" w:type="pct"/>
            <w:shd w:val="clear" w:color="auto" w:fill="auto"/>
            <w:hideMark/>
          </w:tcPr>
          <w:p w:rsidR="00913351" w:rsidRPr="006A6CE3" w:rsidRDefault="00913351" w:rsidP="00AA48B1">
            <w:pPr>
              <w:spacing w:before="0" w:after="0" w:line="240" w:lineRule="auto"/>
              <w:rPr>
                <w:rFonts w:cs="Arial"/>
                <w:color w:val="000000"/>
                <w:sz w:val="20"/>
                <w:lang w:eastAsia="en-GB"/>
              </w:rPr>
            </w:pPr>
            <w:r w:rsidRPr="006A6CE3">
              <w:rPr>
                <w:rFonts w:cs="Arial"/>
                <w:color w:val="000000"/>
                <w:sz w:val="20"/>
                <w:lang w:eastAsia="en-GB"/>
              </w:rPr>
              <w:t>=</w:t>
            </w:r>
          </w:p>
        </w:tc>
        <w:tc>
          <w:tcPr>
            <w:tcW w:w="551" w:type="pct"/>
            <w:shd w:val="clear" w:color="auto" w:fill="auto"/>
            <w:hideMark/>
          </w:tcPr>
          <w:p w:rsidR="00913351" w:rsidRPr="006A6CE3" w:rsidRDefault="00913351" w:rsidP="00AA48B1">
            <w:pPr>
              <w:spacing w:before="0" w:after="0" w:line="240" w:lineRule="auto"/>
              <w:rPr>
                <w:rFonts w:cs="Arial"/>
                <w:color w:val="000000"/>
                <w:sz w:val="20"/>
                <w:lang w:eastAsia="en-GB"/>
              </w:rPr>
            </w:pPr>
            <w:r w:rsidRPr="006A6CE3">
              <w:rPr>
                <w:rFonts w:cs="Arial"/>
                <w:color w:val="000000"/>
                <w:sz w:val="20"/>
                <w:lang w:eastAsia="en-GB"/>
              </w:rPr>
              <w:t>Total kg CO</w:t>
            </w:r>
            <w:r w:rsidRPr="006A6CE3">
              <w:rPr>
                <w:rFonts w:cs="Arial"/>
                <w:color w:val="000000"/>
                <w:sz w:val="20"/>
                <w:vertAlign w:val="subscript"/>
                <w:lang w:eastAsia="en-GB"/>
              </w:rPr>
              <w:t>2</w:t>
            </w:r>
            <w:r w:rsidRPr="006A6CE3">
              <w:rPr>
                <w:rFonts w:cs="Arial"/>
                <w:color w:val="000000"/>
                <w:sz w:val="20"/>
                <w:lang w:eastAsia="en-GB"/>
              </w:rPr>
              <w:t xml:space="preserve"> equivalent</w:t>
            </w:r>
          </w:p>
        </w:tc>
      </w:tr>
      <w:tr w:rsidR="00BB1885" w:rsidRPr="006A6CE3" w:rsidTr="008F432F">
        <w:trPr>
          <w:trHeight w:val="255"/>
        </w:trPr>
        <w:tc>
          <w:tcPr>
            <w:tcW w:w="1789" w:type="pct"/>
            <w:shd w:val="clear" w:color="auto" w:fill="FFFFFF"/>
            <w:noWrap/>
            <w:hideMark/>
          </w:tcPr>
          <w:p w:rsidR="00BB1885" w:rsidRPr="006A6CE3" w:rsidRDefault="00BB1885" w:rsidP="00AA48B1">
            <w:pPr>
              <w:spacing w:before="0" w:after="0" w:line="240" w:lineRule="auto"/>
              <w:ind w:firstLineChars="200" w:firstLine="320"/>
              <w:rPr>
                <w:rFonts w:cs="Arial"/>
                <w:color w:val="000000"/>
                <w:sz w:val="16"/>
                <w:szCs w:val="16"/>
                <w:lang w:eastAsia="en-GB"/>
              </w:rPr>
            </w:pPr>
            <w:r w:rsidRPr="006A6CE3">
              <w:rPr>
                <w:rFonts w:cs="Arial"/>
                <w:color w:val="000000"/>
                <w:sz w:val="16"/>
                <w:szCs w:val="16"/>
                <w:lang w:eastAsia="en-GB"/>
              </w:rPr>
              <w:t>Domestic Refrigeration</w:t>
            </w:r>
          </w:p>
        </w:tc>
        <w:tc>
          <w:tcPr>
            <w:tcW w:w="403"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75"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60" w:type="pct"/>
            <w:shd w:val="clear" w:color="auto" w:fill="auto"/>
            <w:noWrap/>
            <w:vAlign w:val="bottom"/>
          </w:tcPr>
          <w:p w:rsidR="00BB1885" w:rsidRPr="006A6CE3" w:rsidRDefault="00BB1885" w:rsidP="00AA48B1">
            <w:pPr>
              <w:spacing w:before="0" w:after="0" w:line="240" w:lineRule="auto"/>
              <w:rPr>
                <w:rFonts w:cs="Arial"/>
                <w:color w:val="000000"/>
                <w:sz w:val="16"/>
                <w:szCs w:val="16"/>
                <w:lang w:eastAsia="en-GB"/>
              </w:rPr>
            </w:pPr>
            <w:r>
              <w:rPr>
                <w:rFonts w:ascii="Calibri" w:hAnsi="Calibri"/>
                <w:color w:val="000000"/>
                <w:sz w:val="22"/>
              </w:rPr>
              <w:t>0.006</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66"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45"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551"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BB1885" w:rsidRPr="006A6CE3" w:rsidTr="008F432F">
        <w:trPr>
          <w:trHeight w:val="255"/>
        </w:trPr>
        <w:tc>
          <w:tcPr>
            <w:tcW w:w="1789" w:type="pct"/>
            <w:shd w:val="clear" w:color="auto" w:fill="FFFFFF"/>
            <w:noWrap/>
            <w:hideMark/>
          </w:tcPr>
          <w:p w:rsidR="00BB1885" w:rsidRPr="006A6CE3" w:rsidRDefault="00BB1885" w:rsidP="00AA48B1">
            <w:pPr>
              <w:spacing w:before="0" w:after="0" w:line="240" w:lineRule="auto"/>
              <w:ind w:firstLineChars="200" w:firstLine="320"/>
              <w:rPr>
                <w:rFonts w:cs="Arial"/>
                <w:color w:val="000000"/>
                <w:sz w:val="16"/>
                <w:szCs w:val="16"/>
                <w:lang w:eastAsia="en-GB"/>
              </w:rPr>
            </w:pPr>
            <w:r w:rsidRPr="006A6CE3">
              <w:rPr>
                <w:rFonts w:cs="Arial"/>
                <w:color w:val="000000"/>
                <w:sz w:val="16"/>
                <w:szCs w:val="16"/>
                <w:lang w:eastAsia="en-GB"/>
              </w:rPr>
              <w:t>Small Hermetic Stand-Alone Refrigeration Units</w:t>
            </w:r>
          </w:p>
        </w:tc>
        <w:tc>
          <w:tcPr>
            <w:tcW w:w="403"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75"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60" w:type="pct"/>
            <w:shd w:val="clear" w:color="auto" w:fill="auto"/>
            <w:noWrap/>
            <w:vAlign w:val="bottom"/>
          </w:tcPr>
          <w:p w:rsidR="00BB1885" w:rsidRPr="006A6CE3" w:rsidRDefault="00BB1885" w:rsidP="00AA48B1">
            <w:pPr>
              <w:spacing w:before="0" w:after="0" w:line="240" w:lineRule="auto"/>
              <w:rPr>
                <w:rFonts w:cs="Arial"/>
                <w:color w:val="000000"/>
                <w:sz w:val="16"/>
                <w:szCs w:val="16"/>
                <w:lang w:eastAsia="en-GB"/>
              </w:rPr>
            </w:pPr>
            <w:r>
              <w:rPr>
                <w:rFonts w:ascii="Calibri" w:hAnsi="Calibri"/>
                <w:color w:val="000000"/>
                <w:sz w:val="22"/>
              </w:rPr>
              <w:t>0.01</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66"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45"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551"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BB1885" w:rsidRPr="006A6CE3" w:rsidTr="008F432F">
        <w:trPr>
          <w:trHeight w:val="255"/>
        </w:trPr>
        <w:tc>
          <w:tcPr>
            <w:tcW w:w="1789" w:type="pct"/>
            <w:shd w:val="clear" w:color="auto" w:fill="FFFFFF"/>
            <w:noWrap/>
            <w:hideMark/>
          </w:tcPr>
          <w:p w:rsidR="00BB1885" w:rsidRPr="006A6CE3" w:rsidRDefault="00BB1885" w:rsidP="00AA48B1">
            <w:pPr>
              <w:spacing w:before="0" w:after="0" w:line="240" w:lineRule="auto"/>
              <w:ind w:firstLineChars="200" w:firstLine="320"/>
              <w:rPr>
                <w:rFonts w:cs="Arial"/>
                <w:color w:val="000000"/>
                <w:sz w:val="16"/>
                <w:szCs w:val="16"/>
                <w:lang w:eastAsia="en-GB"/>
              </w:rPr>
            </w:pPr>
            <w:r w:rsidRPr="006A6CE3">
              <w:rPr>
                <w:rFonts w:cs="Arial"/>
                <w:color w:val="000000"/>
                <w:sz w:val="16"/>
                <w:szCs w:val="16"/>
                <w:lang w:eastAsia="en-GB"/>
              </w:rPr>
              <w:t>Condensing Units</w:t>
            </w:r>
          </w:p>
        </w:tc>
        <w:tc>
          <w:tcPr>
            <w:tcW w:w="403"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75"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60" w:type="pct"/>
            <w:shd w:val="clear" w:color="auto" w:fill="auto"/>
            <w:noWrap/>
            <w:vAlign w:val="bottom"/>
          </w:tcPr>
          <w:p w:rsidR="00BB1885" w:rsidRPr="006A6CE3" w:rsidRDefault="00BB1885" w:rsidP="00AA48B1">
            <w:pPr>
              <w:spacing w:before="0" w:after="0" w:line="240" w:lineRule="auto"/>
              <w:rPr>
                <w:rFonts w:cs="Arial"/>
                <w:color w:val="000000"/>
                <w:sz w:val="16"/>
                <w:szCs w:val="16"/>
                <w:lang w:eastAsia="en-GB"/>
              </w:rPr>
            </w:pPr>
            <w:r>
              <w:rPr>
                <w:rFonts w:ascii="Calibri" w:hAnsi="Calibri"/>
                <w:color w:val="000000"/>
                <w:sz w:val="22"/>
              </w:rPr>
              <w:t>0.02</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66"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45"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551"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BB1885" w:rsidRPr="006A6CE3" w:rsidTr="008F432F">
        <w:trPr>
          <w:trHeight w:val="255"/>
        </w:trPr>
        <w:tc>
          <w:tcPr>
            <w:tcW w:w="1789" w:type="pct"/>
            <w:shd w:val="clear" w:color="auto" w:fill="FFFFFF"/>
            <w:noWrap/>
            <w:hideMark/>
          </w:tcPr>
          <w:p w:rsidR="00BB1885" w:rsidRPr="006A6CE3" w:rsidRDefault="00BB1885" w:rsidP="00AA48B1">
            <w:pPr>
              <w:spacing w:before="0" w:after="0" w:line="240" w:lineRule="auto"/>
              <w:ind w:firstLineChars="200" w:firstLine="320"/>
              <w:rPr>
                <w:rFonts w:cs="Arial"/>
                <w:color w:val="000000"/>
                <w:sz w:val="16"/>
                <w:szCs w:val="16"/>
                <w:lang w:eastAsia="en-GB"/>
              </w:rPr>
            </w:pPr>
            <w:r w:rsidRPr="006A6CE3">
              <w:rPr>
                <w:rFonts w:cs="Arial"/>
                <w:color w:val="000000"/>
                <w:sz w:val="16"/>
                <w:szCs w:val="16"/>
                <w:lang w:eastAsia="en-GB"/>
              </w:rPr>
              <w:t>Centralised Supermarket Refrigeration Systems</w:t>
            </w:r>
          </w:p>
        </w:tc>
        <w:tc>
          <w:tcPr>
            <w:tcW w:w="403"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75"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60" w:type="pct"/>
            <w:shd w:val="clear" w:color="auto" w:fill="auto"/>
            <w:noWrap/>
            <w:vAlign w:val="bottom"/>
          </w:tcPr>
          <w:p w:rsidR="00BB1885" w:rsidRPr="006A6CE3" w:rsidRDefault="00BB1885" w:rsidP="00AA48B1">
            <w:pPr>
              <w:spacing w:before="0" w:after="0" w:line="240" w:lineRule="auto"/>
              <w:rPr>
                <w:rFonts w:cs="Arial"/>
                <w:color w:val="000000"/>
                <w:sz w:val="16"/>
                <w:szCs w:val="16"/>
                <w:lang w:eastAsia="en-GB"/>
              </w:rPr>
            </w:pPr>
            <w:r>
              <w:rPr>
                <w:rFonts w:ascii="Calibri" w:hAnsi="Calibri"/>
                <w:color w:val="000000"/>
                <w:sz w:val="22"/>
              </w:rPr>
              <w:t>0.02</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66"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45"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551"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BB1885" w:rsidRPr="006A6CE3" w:rsidTr="008F432F">
        <w:trPr>
          <w:trHeight w:val="255"/>
        </w:trPr>
        <w:tc>
          <w:tcPr>
            <w:tcW w:w="1789" w:type="pct"/>
            <w:shd w:val="clear" w:color="auto" w:fill="FFFFFF"/>
            <w:noWrap/>
            <w:hideMark/>
          </w:tcPr>
          <w:p w:rsidR="00BB1885" w:rsidRPr="006A6CE3" w:rsidRDefault="00BB1885" w:rsidP="00AA48B1">
            <w:pPr>
              <w:spacing w:before="0" w:after="0" w:line="240" w:lineRule="auto"/>
              <w:ind w:firstLineChars="200" w:firstLine="320"/>
              <w:rPr>
                <w:rFonts w:cs="Arial"/>
                <w:color w:val="000000"/>
                <w:sz w:val="16"/>
                <w:szCs w:val="16"/>
                <w:lang w:eastAsia="en-GB"/>
              </w:rPr>
            </w:pPr>
            <w:r w:rsidRPr="006A6CE3">
              <w:rPr>
                <w:rFonts w:cs="Arial"/>
                <w:color w:val="000000"/>
                <w:sz w:val="16"/>
                <w:szCs w:val="16"/>
                <w:lang w:eastAsia="en-GB"/>
              </w:rPr>
              <w:t>Industrial Systems</w:t>
            </w:r>
          </w:p>
        </w:tc>
        <w:tc>
          <w:tcPr>
            <w:tcW w:w="403"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75"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60" w:type="pct"/>
            <w:shd w:val="clear" w:color="auto" w:fill="auto"/>
            <w:noWrap/>
            <w:vAlign w:val="bottom"/>
          </w:tcPr>
          <w:p w:rsidR="00BB1885" w:rsidRPr="006A6CE3" w:rsidRDefault="00BB1885" w:rsidP="00AA48B1">
            <w:pPr>
              <w:spacing w:before="0" w:after="0" w:line="240" w:lineRule="auto"/>
              <w:rPr>
                <w:rFonts w:cs="Arial"/>
                <w:color w:val="000000"/>
                <w:sz w:val="16"/>
                <w:szCs w:val="16"/>
                <w:lang w:eastAsia="en-GB"/>
              </w:rPr>
            </w:pPr>
            <w:r>
              <w:rPr>
                <w:rFonts w:ascii="Calibri" w:hAnsi="Calibri"/>
                <w:color w:val="000000"/>
                <w:sz w:val="22"/>
              </w:rPr>
              <w:t>0.01</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66"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45"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551"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BB1885" w:rsidRPr="006A6CE3" w:rsidTr="008F432F">
        <w:trPr>
          <w:trHeight w:val="255"/>
        </w:trPr>
        <w:tc>
          <w:tcPr>
            <w:tcW w:w="1789" w:type="pct"/>
            <w:shd w:val="clear" w:color="auto" w:fill="FFFFFF"/>
            <w:noWrap/>
            <w:hideMark/>
          </w:tcPr>
          <w:p w:rsidR="00BB1885" w:rsidRPr="006A6CE3" w:rsidRDefault="00BB1885" w:rsidP="00AA48B1">
            <w:pPr>
              <w:spacing w:before="0" w:after="0" w:line="240" w:lineRule="auto"/>
              <w:ind w:firstLineChars="200" w:firstLine="320"/>
              <w:rPr>
                <w:rFonts w:cs="Arial"/>
                <w:color w:val="000000"/>
                <w:sz w:val="16"/>
                <w:szCs w:val="16"/>
                <w:lang w:eastAsia="en-GB"/>
              </w:rPr>
            </w:pPr>
            <w:r w:rsidRPr="006A6CE3">
              <w:rPr>
                <w:rFonts w:cs="Arial"/>
                <w:color w:val="000000"/>
                <w:sz w:val="16"/>
                <w:szCs w:val="16"/>
                <w:lang w:eastAsia="en-GB"/>
              </w:rPr>
              <w:t>Small Stationary Air Conditioning</w:t>
            </w:r>
          </w:p>
        </w:tc>
        <w:tc>
          <w:tcPr>
            <w:tcW w:w="403"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75"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60" w:type="pct"/>
            <w:shd w:val="clear" w:color="auto" w:fill="auto"/>
            <w:noWrap/>
            <w:vAlign w:val="bottom"/>
          </w:tcPr>
          <w:p w:rsidR="00BB1885" w:rsidRPr="006A6CE3" w:rsidRDefault="00BB1885" w:rsidP="00AA48B1">
            <w:pPr>
              <w:spacing w:before="0" w:after="0" w:line="240" w:lineRule="auto"/>
              <w:rPr>
                <w:rFonts w:cs="Arial"/>
                <w:color w:val="000000"/>
                <w:sz w:val="16"/>
                <w:szCs w:val="16"/>
                <w:lang w:eastAsia="en-GB"/>
              </w:rPr>
            </w:pPr>
            <w:r>
              <w:rPr>
                <w:rFonts w:ascii="Calibri" w:hAnsi="Calibri"/>
                <w:color w:val="000000"/>
                <w:sz w:val="22"/>
              </w:rPr>
              <w:t>0.005</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66"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45"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551"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BB1885" w:rsidRPr="006A6CE3" w:rsidTr="008F432F">
        <w:trPr>
          <w:trHeight w:val="255"/>
        </w:trPr>
        <w:tc>
          <w:tcPr>
            <w:tcW w:w="1789" w:type="pct"/>
            <w:shd w:val="clear" w:color="auto" w:fill="FFFFFF"/>
            <w:noWrap/>
            <w:hideMark/>
          </w:tcPr>
          <w:p w:rsidR="00BB1885" w:rsidRPr="006A6CE3" w:rsidRDefault="00BB1885" w:rsidP="00AA48B1">
            <w:pPr>
              <w:spacing w:before="0" w:after="0" w:line="240" w:lineRule="auto"/>
              <w:ind w:firstLineChars="200" w:firstLine="320"/>
              <w:rPr>
                <w:rFonts w:cs="Arial"/>
                <w:color w:val="000000"/>
                <w:sz w:val="16"/>
                <w:szCs w:val="16"/>
                <w:lang w:eastAsia="en-GB"/>
              </w:rPr>
            </w:pPr>
            <w:r w:rsidRPr="006A6CE3">
              <w:rPr>
                <w:rFonts w:cs="Arial"/>
                <w:color w:val="000000"/>
                <w:sz w:val="16"/>
                <w:szCs w:val="16"/>
                <w:lang w:eastAsia="en-GB"/>
              </w:rPr>
              <w:t>Medium Stationary Air Conditioning</w:t>
            </w:r>
          </w:p>
        </w:tc>
        <w:tc>
          <w:tcPr>
            <w:tcW w:w="403"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75"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60" w:type="pct"/>
            <w:shd w:val="clear" w:color="auto" w:fill="auto"/>
            <w:noWrap/>
            <w:vAlign w:val="bottom"/>
          </w:tcPr>
          <w:p w:rsidR="00BB1885" w:rsidRPr="006A6CE3" w:rsidRDefault="00BB1885" w:rsidP="00AA48B1">
            <w:pPr>
              <w:spacing w:before="0" w:after="0" w:line="240" w:lineRule="auto"/>
              <w:rPr>
                <w:rFonts w:cs="Arial"/>
                <w:color w:val="000000"/>
                <w:sz w:val="16"/>
                <w:szCs w:val="16"/>
                <w:lang w:eastAsia="en-GB"/>
              </w:rPr>
            </w:pPr>
            <w:r>
              <w:rPr>
                <w:rFonts w:ascii="Calibri" w:hAnsi="Calibri"/>
                <w:color w:val="000000"/>
                <w:sz w:val="22"/>
              </w:rPr>
              <w:t>0.01</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66"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45"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551"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BB1885" w:rsidRPr="006A6CE3" w:rsidTr="008F432F">
        <w:trPr>
          <w:trHeight w:val="255"/>
        </w:trPr>
        <w:tc>
          <w:tcPr>
            <w:tcW w:w="1789" w:type="pct"/>
            <w:shd w:val="clear" w:color="auto" w:fill="FFFFFF"/>
            <w:noWrap/>
            <w:hideMark/>
          </w:tcPr>
          <w:p w:rsidR="00BB1885" w:rsidRPr="006A6CE3" w:rsidRDefault="00BB1885" w:rsidP="00AA48B1">
            <w:pPr>
              <w:spacing w:before="0" w:after="0" w:line="240" w:lineRule="auto"/>
              <w:ind w:firstLineChars="200" w:firstLine="320"/>
              <w:rPr>
                <w:rFonts w:cs="Arial"/>
                <w:color w:val="000000"/>
                <w:sz w:val="16"/>
                <w:szCs w:val="16"/>
                <w:lang w:eastAsia="en-GB"/>
              </w:rPr>
            </w:pPr>
            <w:r w:rsidRPr="006A6CE3">
              <w:rPr>
                <w:rFonts w:cs="Arial"/>
                <w:color w:val="000000"/>
                <w:sz w:val="16"/>
                <w:szCs w:val="16"/>
                <w:lang w:eastAsia="en-GB"/>
              </w:rPr>
              <w:t>Large Stationary Air Conditioning (Chillers)</w:t>
            </w:r>
          </w:p>
        </w:tc>
        <w:tc>
          <w:tcPr>
            <w:tcW w:w="403"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75"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60" w:type="pct"/>
            <w:shd w:val="clear" w:color="auto" w:fill="auto"/>
            <w:noWrap/>
            <w:vAlign w:val="bottom"/>
          </w:tcPr>
          <w:p w:rsidR="00BB1885" w:rsidRPr="006A6CE3" w:rsidRDefault="00BB1885" w:rsidP="00AA48B1">
            <w:pPr>
              <w:spacing w:before="0" w:after="0" w:line="240" w:lineRule="auto"/>
              <w:rPr>
                <w:rFonts w:cs="Arial"/>
                <w:color w:val="000000"/>
                <w:sz w:val="16"/>
                <w:szCs w:val="16"/>
                <w:lang w:eastAsia="en-GB"/>
              </w:rPr>
            </w:pPr>
            <w:r>
              <w:rPr>
                <w:rFonts w:ascii="Calibri" w:hAnsi="Calibri"/>
                <w:color w:val="000000"/>
                <w:sz w:val="22"/>
              </w:rPr>
              <w:t>0.005</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66"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45"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551"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BB1885" w:rsidRPr="006A6CE3" w:rsidTr="008F432F">
        <w:trPr>
          <w:trHeight w:val="255"/>
        </w:trPr>
        <w:tc>
          <w:tcPr>
            <w:tcW w:w="1789" w:type="pct"/>
            <w:shd w:val="clear" w:color="auto" w:fill="FFFFFF"/>
            <w:noWrap/>
            <w:hideMark/>
          </w:tcPr>
          <w:p w:rsidR="00BB1885" w:rsidRPr="006A6CE3" w:rsidRDefault="00BB1885" w:rsidP="00AA48B1">
            <w:pPr>
              <w:spacing w:before="0" w:after="0" w:line="240" w:lineRule="auto"/>
              <w:ind w:firstLineChars="200" w:firstLine="320"/>
              <w:rPr>
                <w:rFonts w:cs="Arial"/>
                <w:color w:val="000000"/>
                <w:sz w:val="16"/>
                <w:szCs w:val="16"/>
                <w:lang w:eastAsia="en-GB"/>
              </w:rPr>
            </w:pPr>
            <w:r w:rsidRPr="006A6CE3">
              <w:rPr>
                <w:rFonts w:cs="Arial"/>
                <w:color w:val="000000"/>
                <w:sz w:val="16"/>
                <w:szCs w:val="16"/>
                <w:lang w:eastAsia="en-GB"/>
              </w:rPr>
              <w:t>Heat Pumps</w:t>
            </w:r>
          </w:p>
        </w:tc>
        <w:tc>
          <w:tcPr>
            <w:tcW w:w="403"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75"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60" w:type="pct"/>
            <w:shd w:val="clear" w:color="auto" w:fill="auto"/>
            <w:noWrap/>
            <w:vAlign w:val="bottom"/>
          </w:tcPr>
          <w:p w:rsidR="00BB1885" w:rsidRPr="006A6CE3" w:rsidRDefault="00BB1885" w:rsidP="00AA48B1">
            <w:pPr>
              <w:spacing w:before="0" w:after="0" w:line="240" w:lineRule="auto"/>
              <w:rPr>
                <w:rFonts w:cs="Arial"/>
                <w:color w:val="000000"/>
                <w:sz w:val="16"/>
                <w:szCs w:val="16"/>
                <w:lang w:eastAsia="en-GB"/>
              </w:rPr>
            </w:pPr>
            <w:r>
              <w:rPr>
                <w:rFonts w:ascii="Calibri" w:hAnsi="Calibri"/>
                <w:color w:val="000000"/>
                <w:sz w:val="22"/>
              </w:rPr>
              <w:t>0.01</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66"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45"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551"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BB1885" w:rsidRPr="006A6CE3" w:rsidTr="008F432F">
        <w:trPr>
          <w:trHeight w:val="255"/>
        </w:trPr>
        <w:tc>
          <w:tcPr>
            <w:tcW w:w="1789" w:type="pct"/>
            <w:shd w:val="clear" w:color="auto" w:fill="FFFFFF"/>
            <w:noWrap/>
            <w:hideMark/>
          </w:tcPr>
          <w:p w:rsidR="00BB1885" w:rsidRPr="006A6CE3" w:rsidRDefault="00BB1885" w:rsidP="00AA48B1">
            <w:pPr>
              <w:spacing w:before="0" w:after="0" w:line="240" w:lineRule="auto"/>
              <w:ind w:firstLineChars="200" w:firstLine="320"/>
              <w:rPr>
                <w:rFonts w:cs="Arial"/>
                <w:color w:val="000000"/>
                <w:sz w:val="16"/>
                <w:szCs w:val="16"/>
                <w:lang w:eastAsia="en-GB"/>
              </w:rPr>
            </w:pPr>
            <w:r w:rsidRPr="006A6CE3">
              <w:rPr>
                <w:rFonts w:cs="Arial"/>
                <w:color w:val="000000"/>
                <w:sz w:val="16"/>
                <w:szCs w:val="16"/>
                <w:lang w:eastAsia="en-GB"/>
              </w:rPr>
              <w:t>Land Transport Refrigeration</w:t>
            </w:r>
          </w:p>
        </w:tc>
        <w:tc>
          <w:tcPr>
            <w:tcW w:w="403"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75"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60" w:type="pct"/>
            <w:shd w:val="clear" w:color="auto" w:fill="auto"/>
            <w:noWrap/>
            <w:vAlign w:val="bottom"/>
          </w:tcPr>
          <w:p w:rsidR="00BB1885" w:rsidRPr="006A6CE3" w:rsidRDefault="00BB1885" w:rsidP="00AA48B1">
            <w:pPr>
              <w:spacing w:before="0" w:after="0" w:line="240" w:lineRule="auto"/>
              <w:rPr>
                <w:rFonts w:cs="Arial"/>
                <w:color w:val="000000"/>
                <w:sz w:val="16"/>
                <w:szCs w:val="16"/>
                <w:lang w:eastAsia="en-GB"/>
              </w:rPr>
            </w:pPr>
            <w:r>
              <w:rPr>
                <w:rFonts w:ascii="Calibri" w:hAnsi="Calibri"/>
                <w:color w:val="000000"/>
                <w:sz w:val="22"/>
              </w:rPr>
              <w:t>0.002</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66"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45"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551"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BB1885" w:rsidRPr="006A6CE3" w:rsidTr="008F432F">
        <w:trPr>
          <w:trHeight w:val="255"/>
        </w:trPr>
        <w:tc>
          <w:tcPr>
            <w:tcW w:w="1789" w:type="pct"/>
            <w:shd w:val="clear" w:color="auto" w:fill="FFFFFF"/>
            <w:noWrap/>
            <w:hideMark/>
          </w:tcPr>
          <w:p w:rsidR="00BB1885" w:rsidRPr="006A6CE3" w:rsidRDefault="00BB1885" w:rsidP="00AA48B1">
            <w:pPr>
              <w:spacing w:before="0" w:after="0" w:line="240" w:lineRule="auto"/>
              <w:ind w:firstLineChars="200" w:firstLine="320"/>
              <w:rPr>
                <w:rFonts w:cs="Arial"/>
                <w:color w:val="000000"/>
                <w:sz w:val="16"/>
                <w:szCs w:val="16"/>
                <w:lang w:eastAsia="en-GB"/>
              </w:rPr>
            </w:pPr>
            <w:r w:rsidRPr="006A6CE3">
              <w:rPr>
                <w:rFonts w:cs="Arial"/>
                <w:color w:val="000000"/>
                <w:sz w:val="16"/>
                <w:szCs w:val="16"/>
                <w:lang w:eastAsia="en-GB"/>
              </w:rPr>
              <w:t>Marine Transport Refrigeration</w:t>
            </w:r>
          </w:p>
        </w:tc>
        <w:tc>
          <w:tcPr>
            <w:tcW w:w="403"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75"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60" w:type="pct"/>
            <w:shd w:val="clear" w:color="auto" w:fill="auto"/>
            <w:noWrap/>
            <w:vAlign w:val="bottom"/>
          </w:tcPr>
          <w:p w:rsidR="00BB1885" w:rsidRPr="006A6CE3" w:rsidRDefault="00BB1885" w:rsidP="00AA48B1">
            <w:pPr>
              <w:spacing w:before="0" w:after="0" w:line="240" w:lineRule="auto"/>
              <w:rPr>
                <w:rFonts w:cs="Arial"/>
                <w:color w:val="000000"/>
                <w:sz w:val="16"/>
                <w:szCs w:val="16"/>
                <w:lang w:eastAsia="en-GB"/>
              </w:rPr>
            </w:pPr>
            <w:r>
              <w:rPr>
                <w:rFonts w:ascii="Calibri" w:hAnsi="Calibri"/>
                <w:color w:val="000000"/>
                <w:sz w:val="22"/>
              </w:rPr>
              <w:t>0.01</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66"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45"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551"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BB1885" w:rsidRPr="006A6CE3" w:rsidTr="008F432F">
        <w:trPr>
          <w:trHeight w:val="255"/>
        </w:trPr>
        <w:tc>
          <w:tcPr>
            <w:tcW w:w="1789" w:type="pct"/>
            <w:shd w:val="clear" w:color="auto" w:fill="FFFFFF"/>
            <w:noWrap/>
            <w:hideMark/>
          </w:tcPr>
          <w:p w:rsidR="00BB1885" w:rsidRPr="006A6CE3" w:rsidRDefault="00BB1885" w:rsidP="00AA48B1">
            <w:pPr>
              <w:spacing w:before="0" w:after="0" w:line="240" w:lineRule="auto"/>
              <w:ind w:firstLineChars="200" w:firstLine="320"/>
              <w:rPr>
                <w:rFonts w:cs="Arial"/>
                <w:color w:val="000000"/>
                <w:sz w:val="16"/>
                <w:szCs w:val="16"/>
                <w:lang w:eastAsia="en-GB"/>
              </w:rPr>
            </w:pPr>
            <w:r w:rsidRPr="006A6CE3">
              <w:rPr>
                <w:rFonts w:cs="Arial"/>
                <w:color w:val="000000"/>
                <w:sz w:val="16"/>
                <w:szCs w:val="16"/>
                <w:lang w:eastAsia="en-GB"/>
              </w:rPr>
              <w:t>Light-Duty Mobile Air Conditioning</w:t>
            </w:r>
          </w:p>
        </w:tc>
        <w:tc>
          <w:tcPr>
            <w:tcW w:w="403"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75"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60" w:type="pct"/>
            <w:shd w:val="clear" w:color="auto" w:fill="auto"/>
            <w:noWrap/>
            <w:vAlign w:val="bottom"/>
          </w:tcPr>
          <w:p w:rsidR="00BB1885" w:rsidRPr="006A6CE3" w:rsidRDefault="00BB1885" w:rsidP="00AA48B1">
            <w:pPr>
              <w:spacing w:before="0" w:after="0" w:line="240" w:lineRule="auto"/>
              <w:rPr>
                <w:rFonts w:cs="Arial"/>
                <w:color w:val="000000"/>
                <w:sz w:val="16"/>
                <w:szCs w:val="16"/>
                <w:lang w:eastAsia="en-GB"/>
              </w:rPr>
            </w:pPr>
            <w:r>
              <w:rPr>
                <w:rFonts w:ascii="Calibri" w:hAnsi="Calibri"/>
                <w:color w:val="000000"/>
                <w:sz w:val="22"/>
              </w:rPr>
              <w:t>0.005</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66"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45"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551"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BB1885" w:rsidRPr="006A6CE3" w:rsidTr="008F432F">
        <w:trPr>
          <w:trHeight w:val="255"/>
        </w:trPr>
        <w:tc>
          <w:tcPr>
            <w:tcW w:w="1789" w:type="pct"/>
            <w:shd w:val="clear" w:color="auto" w:fill="FFFFFF"/>
            <w:noWrap/>
            <w:hideMark/>
          </w:tcPr>
          <w:p w:rsidR="00BB1885" w:rsidRPr="006A6CE3" w:rsidRDefault="00BB1885" w:rsidP="00AA48B1">
            <w:pPr>
              <w:spacing w:before="0" w:after="0" w:line="240" w:lineRule="auto"/>
              <w:ind w:firstLineChars="200" w:firstLine="320"/>
              <w:rPr>
                <w:rFonts w:cs="Arial"/>
                <w:color w:val="000000"/>
                <w:sz w:val="16"/>
                <w:szCs w:val="16"/>
                <w:lang w:eastAsia="en-GB"/>
              </w:rPr>
            </w:pPr>
            <w:r w:rsidRPr="006A6CE3">
              <w:rPr>
                <w:rFonts w:cs="Arial"/>
                <w:color w:val="000000"/>
                <w:sz w:val="16"/>
                <w:szCs w:val="16"/>
                <w:lang w:eastAsia="en-GB"/>
              </w:rPr>
              <w:t>Other Mobile Air Conditioning</w:t>
            </w:r>
          </w:p>
        </w:tc>
        <w:tc>
          <w:tcPr>
            <w:tcW w:w="403"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75"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60" w:type="pct"/>
            <w:shd w:val="clear" w:color="auto" w:fill="auto"/>
            <w:noWrap/>
            <w:vAlign w:val="bottom"/>
          </w:tcPr>
          <w:p w:rsidR="00BB1885" w:rsidRPr="006A6CE3" w:rsidRDefault="00BB1885" w:rsidP="00AA48B1">
            <w:pPr>
              <w:spacing w:before="0" w:after="0" w:line="240" w:lineRule="auto"/>
              <w:rPr>
                <w:rFonts w:cs="Arial"/>
                <w:color w:val="000000"/>
                <w:sz w:val="16"/>
                <w:szCs w:val="16"/>
                <w:lang w:eastAsia="en-GB"/>
              </w:rPr>
            </w:pPr>
            <w:r>
              <w:rPr>
                <w:rFonts w:ascii="Calibri" w:hAnsi="Calibri"/>
                <w:color w:val="000000"/>
                <w:sz w:val="22"/>
              </w:rPr>
              <w:t>0.005</w:t>
            </w:r>
          </w:p>
        </w:tc>
        <w:tc>
          <w:tcPr>
            <w:tcW w:w="137"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566"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45"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551" w:type="pct"/>
            <w:shd w:val="clear" w:color="auto" w:fill="auto"/>
            <w:noWrap/>
            <w:hideMark/>
          </w:tcPr>
          <w:p w:rsidR="00BB1885" w:rsidRPr="006A6CE3" w:rsidRDefault="00BB1885" w:rsidP="00AA48B1">
            <w:pPr>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BB1885" w:rsidRPr="006A6CE3" w:rsidTr="00BB1885">
        <w:trPr>
          <w:trHeight w:val="255"/>
        </w:trPr>
        <w:tc>
          <w:tcPr>
            <w:tcW w:w="1789" w:type="pct"/>
            <w:shd w:val="clear" w:color="auto" w:fill="FFFFFF"/>
            <w:hideMark/>
          </w:tcPr>
          <w:p w:rsidR="00BB1885" w:rsidRPr="006A6CE3" w:rsidRDefault="00BB1885" w:rsidP="00AA48B1">
            <w:pPr>
              <w:spacing w:before="0" w:after="0" w:line="240" w:lineRule="auto"/>
              <w:rPr>
                <w:rFonts w:cs="Arial"/>
                <w:b/>
                <w:bCs/>
                <w:color w:val="000000"/>
                <w:sz w:val="16"/>
                <w:szCs w:val="16"/>
                <w:lang w:eastAsia="en-GB"/>
              </w:rPr>
            </w:pPr>
            <w:r w:rsidRPr="006A6CE3">
              <w:rPr>
                <w:rFonts w:cs="Arial"/>
                <w:b/>
                <w:bCs/>
                <w:color w:val="000000"/>
                <w:sz w:val="16"/>
                <w:szCs w:val="16"/>
                <w:lang w:eastAsia="en-GB"/>
              </w:rPr>
              <w:t>Total</w:t>
            </w:r>
          </w:p>
        </w:tc>
        <w:tc>
          <w:tcPr>
            <w:tcW w:w="403" w:type="pct"/>
            <w:shd w:val="clear" w:color="auto" w:fill="auto"/>
            <w:noWrap/>
            <w:hideMark/>
          </w:tcPr>
          <w:p w:rsidR="00BB1885" w:rsidRPr="006A6CE3" w:rsidRDefault="00BB1885" w:rsidP="00AA48B1">
            <w:pPr>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137" w:type="pct"/>
            <w:shd w:val="clear" w:color="auto" w:fill="auto"/>
            <w:noWrap/>
            <w:hideMark/>
          </w:tcPr>
          <w:p w:rsidR="00BB1885" w:rsidRPr="006A6CE3" w:rsidRDefault="00BB1885" w:rsidP="00AA48B1">
            <w:pPr>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575" w:type="pct"/>
            <w:shd w:val="clear" w:color="auto" w:fill="auto"/>
            <w:noWrap/>
            <w:hideMark/>
          </w:tcPr>
          <w:p w:rsidR="00BB1885" w:rsidRPr="006A6CE3" w:rsidRDefault="00BB1885" w:rsidP="00AA48B1">
            <w:pPr>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137" w:type="pct"/>
            <w:shd w:val="clear" w:color="auto" w:fill="auto"/>
            <w:noWrap/>
            <w:hideMark/>
          </w:tcPr>
          <w:p w:rsidR="00BB1885" w:rsidRPr="006A6CE3" w:rsidRDefault="00BB1885" w:rsidP="00AA48B1">
            <w:pPr>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560" w:type="pct"/>
            <w:shd w:val="clear" w:color="auto" w:fill="auto"/>
            <w:noWrap/>
            <w:hideMark/>
          </w:tcPr>
          <w:p w:rsidR="00BB1885" w:rsidRPr="006A6CE3" w:rsidRDefault="00BB1885" w:rsidP="00AA48B1">
            <w:pPr>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137" w:type="pct"/>
            <w:shd w:val="clear" w:color="auto" w:fill="auto"/>
            <w:noWrap/>
            <w:hideMark/>
          </w:tcPr>
          <w:p w:rsidR="00BB1885" w:rsidRPr="006A6CE3" w:rsidRDefault="00BB1885" w:rsidP="00AA48B1">
            <w:pPr>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566" w:type="pct"/>
            <w:shd w:val="clear" w:color="auto" w:fill="auto"/>
            <w:noWrap/>
            <w:hideMark/>
          </w:tcPr>
          <w:p w:rsidR="00BB1885" w:rsidRPr="006A6CE3" w:rsidRDefault="00BB1885" w:rsidP="00AA48B1">
            <w:pPr>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145" w:type="pct"/>
            <w:shd w:val="clear" w:color="auto" w:fill="auto"/>
            <w:noWrap/>
            <w:hideMark/>
          </w:tcPr>
          <w:p w:rsidR="00BB1885" w:rsidRPr="006A6CE3" w:rsidRDefault="00BB1885" w:rsidP="00AA48B1">
            <w:pPr>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551" w:type="pct"/>
            <w:shd w:val="clear" w:color="auto" w:fill="auto"/>
            <w:noWrap/>
            <w:hideMark/>
          </w:tcPr>
          <w:p w:rsidR="00BB1885" w:rsidRPr="006A6CE3" w:rsidRDefault="00BB1885" w:rsidP="00AA48B1">
            <w:pPr>
              <w:spacing w:before="0" w:after="0" w:line="240" w:lineRule="auto"/>
              <w:rPr>
                <w:rFonts w:cs="Arial"/>
                <w:b/>
                <w:bCs/>
                <w:color w:val="000000"/>
                <w:sz w:val="16"/>
                <w:szCs w:val="16"/>
                <w:lang w:eastAsia="en-GB"/>
              </w:rPr>
            </w:pPr>
          </w:p>
        </w:tc>
      </w:tr>
    </w:tbl>
    <w:p w:rsidR="00913351" w:rsidRPr="006A6CE3" w:rsidRDefault="00913351" w:rsidP="00E204D9">
      <w:pPr>
        <w:tabs>
          <w:tab w:val="left" w:pos="851"/>
        </w:tabs>
        <w:ind w:left="720"/>
        <w:rPr>
          <w:rFonts w:cs="Arial"/>
        </w:rPr>
      </w:pPr>
    </w:p>
    <w:p w:rsidR="00913351" w:rsidRPr="006A6CE3" w:rsidRDefault="00913351" w:rsidP="00E204D9">
      <w:pPr>
        <w:tabs>
          <w:tab w:val="left" w:pos="851"/>
        </w:tabs>
        <w:ind w:left="720"/>
        <w:rPr>
          <w:rFonts w:cs="Arial"/>
        </w:rPr>
      </w:pPr>
    </w:p>
    <w:p w:rsidR="00913351" w:rsidRPr="006A6CE3" w:rsidRDefault="00913351" w:rsidP="0086258B">
      <w:pPr>
        <w:numPr>
          <w:ilvl w:val="0"/>
          <w:numId w:val="24"/>
        </w:numPr>
        <w:tabs>
          <w:tab w:val="left" w:pos="851"/>
        </w:tabs>
        <w:spacing w:before="200" w:after="200"/>
        <w:rPr>
          <w:rFonts w:cs="Arial"/>
        </w:rPr>
      </w:pPr>
      <w:r w:rsidRPr="006A6CE3">
        <w:rPr>
          <w:rFonts w:cs="Arial"/>
        </w:rPr>
        <w:br w:type="page"/>
      </w:r>
      <w:r w:rsidRPr="006A6CE3">
        <w:rPr>
          <w:rFonts w:cs="Arial"/>
          <w:b/>
        </w:rPr>
        <w:lastRenderedPageBreak/>
        <w:t>Determine operating emissions</w:t>
      </w:r>
    </w:p>
    <w:p w:rsidR="00913351" w:rsidRPr="006A6CE3" w:rsidRDefault="00913351" w:rsidP="00E204D9">
      <w:pPr>
        <w:tabs>
          <w:tab w:val="left" w:pos="851"/>
        </w:tabs>
        <w:ind w:left="720"/>
        <w:rPr>
          <w:rFonts w:cs="Arial"/>
        </w:rPr>
      </w:pPr>
      <w:r w:rsidRPr="006A6CE3">
        <w:rPr>
          <w:rFonts w:cs="Arial"/>
        </w:rPr>
        <w:t>Estimate losses from equipment leaks and service losses over the life of the equipment. For all pieces of equipment, use the table below.  You will need to determine the length of time (in years) that each piece of equipment has been used.</w:t>
      </w:r>
    </w:p>
    <w:tbl>
      <w:tblPr>
        <w:tblW w:w="4595" w:type="pct"/>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989"/>
        <w:gridCol w:w="929"/>
        <w:gridCol w:w="316"/>
        <w:gridCol w:w="1214"/>
        <w:gridCol w:w="316"/>
        <w:gridCol w:w="1234"/>
        <w:gridCol w:w="316"/>
        <w:gridCol w:w="1147"/>
        <w:gridCol w:w="316"/>
        <w:gridCol w:w="2761"/>
        <w:gridCol w:w="389"/>
        <w:gridCol w:w="1161"/>
      </w:tblGrid>
      <w:tr w:rsidR="00913351" w:rsidRPr="006A6CE3" w:rsidTr="00AA48B1">
        <w:trPr>
          <w:trHeight w:val="672"/>
        </w:trPr>
        <w:tc>
          <w:tcPr>
            <w:tcW w:w="5000" w:type="pct"/>
            <w:gridSpan w:val="12"/>
            <w:shd w:val="clear" w:color="auto" w:fill="878800"/>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b/>
                <w:bCs/>
                <w:color w:val="FFFFFF"/>
                <w:sz w:val="20"/>
                <w:lang w:eastAsia="en-GB"/>
              </w:rPr>
              <w:t>Emissions from Installation of Refrigeration and Air-conditioning Equipment</w:t>
            </w:r>
          </w:p>
        </w:tc>
      </w:tr>
      <w:tr w:rsidR="00C64465" w:rsidRPr="006A6CE3" w:rsidTr="00BB1885">
        <w:trPr>
          <w:trHeight w:val="672"/>
        </w:trPr>
        <w:tc>
          <w:tcPr>
            <w:tcW w:w="1416" w:type="pct"/>
            <w:shd w:val="clear" w:color="auto" w:fill="FFFFFF"/>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Type of Equipment</w:t>
            </w:r>
          </w:p>
        </w:tc>
        <w:tc>
          <w:tcPr>
            <w:tcW w:w="330" w:type="pct"/>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Number of Units</w:t>
            </w:r>
          </w:p>
        </w:tc>
        <w:tc>
          <w:tcPr>
            <w:tcW w:w="112" w:type="pct"/>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x</w:t>
            </w:r>
          </w:p>
        </w:tc>
        <w:tc>
          <w:tcPr>
            <w:tcW w:w="431" w:type="pct"/>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Equipment Charge Capacity (kg)</w:t>
            </w:r>
          </w:p>
        </w:tc>
        <w:tc>
          <w:tcPr>
            <w:tcW w:w="112" w:type="pct"/>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x</w:t>
            </w:r>
          </w:p>
        </w:tc>
        <w:tc>
          <w:tcPr>
            <w:tcW w:w="438" w:type="pct"/>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Time used during reporting period (years)</w:t>
            </w:r>
          </w:p>
        </w:tc>
        <w:tc>
          <w:tcPr>
            <w:tcW w:w="112" w:type="pct"/>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x</w:t>
            </w:r>
          </w:p>
        </w:tc>
        <w:tc>
          <w:tcPr>
            <w:tcW w:w="407" w:type="pct"/>
            <w:shd w:val="clear" w:color="auto" w:fill="auto"/>
            <w:hideMark/>
          </w:tcPr>
          <w:p w:rsidR="00913351" w:rsidRPr="006A6CE3" w:rsidRDefault="00913351" w:rsidP="00BB1885">
            <w:pPr>
              <w:tabs>
                <w:tab w:val="left" w:pos="851"/>
              </w:tabs>
              <w:spacing w:before="0" w:after="0" w:line="240" w:lineRule="auto"/>
              <w:rPr>
                <w:rFonts w:cs="Arial"/>
                <w:color w:val="000000"/>
                <w:sz w:val="20"/>
                <w:lang w:eastAsia="en-GB"/>
              </w:rPr>
            </w:pPr>
            <w:r w:rsidRPr="006A6CE3">
              <w:rPr>
                <w:rFonts w:cs="Arial"/>
                <w:color w:val="000000"/>
                <w:sz w:val="20"/>
                <w:lang w:eastAsia="en-GB"/>
              </w:rPr>
              <w:t xml:space="preserve">Annual Leak Rate </w:t>
            </w:r>
            <w:r w:rsidR="00BB1885">
              <w:rPr>
                <w:rFonts w:cs="Arial"/>
                <w:color w:val="000000"/>
                <w:sz w:val="20"/>
                <w:lang w:eastAsia="en-GB"/>
              </w:rPr>
              <w:t xml:space="preserve">Factor </w:t>
            </w:r>
          </w:p>
        </w:tc>
        <w:tc>
          <w:tcPr>
            <w:tcW w:w="112" w:type="pct"/>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x</w:t>
            </w:r>
          </w:p>
        </w:tc>
        <w:tc>
          <w:tcPr>
            <w:tcW w:w="980" w:type="pct"/>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Global Warming Potential of refrigerant</w:t>
            </w:r>
          </w:p>
        </w:tc>
        <w:tc>
          <w:tcPr>
            <w:tcW w:w="138" w:type="pct"/>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412" w:type="pct"/>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Total kg CO</w:t>
            </w:r>
            <w:r w:rsidRPr="006A6CE3">
              <w:rPr>
                <w:rFonts w:cs="Arial"/>
                <w:color w:val="000000"/>
                <w:sz w:val="20"/>
                <w:vertAlign w:val="subscript"/>
                <w:lang w:eastAsia="en-GB"/>
              </w:rPr>
              <w:t>2</w:t>
            </w:r>
            <w:r w:rsidRPr="006A6CE3">
              <w:rPr>
                <w:rFonts w:cs="Arial"/>
                <w:color w:val="000000"/>
                <w:sz w:val="20"/>
                <w:lang w:eastAsia="en-GB"/>
              </w:rPr>
              <w:t xml:space="preserve"> equivalent</w:t>
            </w:r>
          </w:p>
        </w:tc>
      </w:tr>
      <w:tr w:rsidR="00BB1885" w:rsidRPr="006A6CE3" w:rsidTr="008F432F">
        <w:trPr>
          <w:trHeight w:val="224"/>
        </w:trPr>
        <w:tc>
          <w:tcPr>
            <w:tcW w:w="1416" w:type="pct"/>
            <w:shd w:val="clear" w:color="auto" w:fill="FFFFFF"/>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Domestic Refrigeration</w:t>
            </w:r>
          </w:p>
        </w:tc>
        <w:tc>
          <w:tcPr>
            <w:tcW w:w="330"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31"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38"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07" w:type="pct"/>
            <w:shd w:val="clear" w:color="auto" w:fill="auto"/>
            <w:noWrap/>
            <w:vAlign w:val="bottom"/>
          </w:tcPr>
          <w:p w:rsidR="00BB1885" w:rsidRPr="006A6CE3" w:rsidRDefault="00BB1885" w:rsidP="00AA48B1">
            <w:pPr>
              <w:tabs>
                <w:tab w:val="left" w:pos="851"/>
              </w:tabs>
              <w:spacing w:before="0" w:after="0" w:line="240" w:lineRule="auto"/>
              <w:rPr>
                <w:rFonts w:cs="Arial"/>
                <w:color w:val="000000"/>
                <w:sz w:val="16"/>
                <w:szCs w:val="16"/>
                <w:lang w:eastAsia="en-GB"/>
              </w:rPr>
            </w:pPr>
            <w:r>
              <w:rPr>
                <w:rFonts w:ascii="Calibri" w:hAnsi="Calibri"/>
                <w:color w:val="000000"/>
                <w:sz w:val="22"/>
              </w:rPr>
              <w:t>0.003</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980"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8"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4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BB1885" w:rsidRPr="006A6CE3" w:rsidTr="008F432F">
        <w:trPr>
          <w:trHeight w:val="224"/>
        </w:trPr>
        <w:tc>
          <w:tcPr>
            <w:tcW w:w="1416" w:type="pct"/>
            <w:shd w:val="clear" w:color="auto" w:fill="FFFFFF"/>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Small Hermetic Stand-Alone Refrigeration Units</w:t>
            </w:r>
          </w:p>
        </w:tc>
        <w:tc>
          <w:tcPr>
            <w:tcW w:w="330"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31"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38"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07" w:type="pct"/>
            <w:shd w:val="clear" w:color="auto" w:fill="auto"/>
            <w:noWrap/>
            <w:vAlign w:val="bottom"/>
          </w:tcPr>
          <w:p w:rsidR="00BB1885" w:rsidRPr="006A6CE3" w:rsidRDefault="00BB1885" w:rsidP="00AA48B1">
            <w:pPr>
              <w:tabs>
                <w:tab w:val="left" w:pos="851"/>
              </w:tabs>
              <w:spacing w:before="0" w:after="0" w:line="240" w:lineRule="auto"/>
              <w:rPr>
                <w:rFonts w:cs="Arial"/>
                <w:color w:val="000000"/>
                <w:sz w:val="16"/>
                <w:szCs w:val="16"/>
                <w:lang w:eastAsia="en-GB"/>
              </w:rPr>
            </w:pPr>
            <w:r>
              <w:rPr>
                <w:rFonts w:ascii="Calibri" w:hAnsi="Calibri"/>
                <w:color w:val="000000"/>
                <w:sz w:val="22"/>
              </w:rPr>
              <w:t>0.015</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980"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8"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4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BB1885" w:rsidRPr="006A6CE3" w:rsidTr="008F432F">
        <w:trPr>
          <w:trHeight w:val="224"/>
        </w:trPr>
        <w:tc>
          <w:tcPr>
            <w:tcW w:w="1416" w:type="pct"/>
            <w:shd w:val="clear" w:color="auto" w:fill="FFFFFF"/>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Condensing Units</w:t>
            </w:r>
          </w:p>
        </w:tc>
        <w:tc>
          <w:tcPr>
            <w:tcW w:w="330"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31"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38"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07" w:type="pct"/>
            <w:shd w:val="clear" w:color="auto" w:fill="auto"/>
            <w:noWrap/>
            <w:vAlign w:val="bottom"/>
          </w:tcPr>
          <w:p w:rsidR="00BB1885" w:rsidRPr="006A6CE3" w:rsidRDefault="00BB1885" w:rsidP="00AA48B1">
            <w:pPr>
              <w:tabs>
                <w:tab w:val="left" w:pos="851"/>
              </w:tabs>
              <w:spacing w:before="0" w:after="0" w:line="240" w:lineRule="auto"/>
              <w:rPr>
                <w:rFonts w:cs="Arial"/>
                <w:color w:val="000000"/>
                <w:sz w:val="16"/>
                <w:szCs w:val="16"/>
                <w:lang w:eastAsia="en-GB"/>
              </w:rPr>
            </w:pPr>
            <w:r>
              <w:rPr>
                <w:rFonts w:ascii="Calibri" w:hAnsi="Calibri"/>
                <w:color w:val="000000"/>
                <w:sz w:val="22"/>
              </w:rPr>
              <w:t>0.1</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980"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8"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4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BB1885" w:rsidRPr="006A6CE3" w:rsidTr="008F432F">
        <w:trPr>
          <w:trHeight w:val="224"/>
        </w:trPr>
        <w:tc>
          <w:tcPr>
            <w:tcW w:w="1416" w:type="pct"/>
            <w:shd w:val="clear" w:color="auto" w:fill="FFFFFF"/>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Centralised Supermarket Refrigeration Systems</w:t>
            </w:r>
          </w:p>
        </w:tc>
        <w:tc>
          <w:tcPr>
            <w:tcW w:w="330"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31"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38"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07" w:type="pct"/>
            <w:shd w:val="clear" w:color="auto" w:fill="auto"/>
            <w:noWrap/>
            <w:vAlign w:val="bottom"/>
          </w:tcPr>
          <w:p w:rsidR="00BB1885" w:rsidRPr="006A6CE3" w:rsidRDefault="00BB1885" w:rsidP="00AA48B1">
            <w:pPr>
              <w:tabs>
                <w:tab w:val="left" w:pos="851"/>
              </w:tabs>
              <w:spacing w:before="0" w:after="0" w:line="240" w:lineRule="auto"/>
              <w:rPr>
                <w:rFonts w:cs="Arial"/>
                <w:color w:val="000000"/>
                <w:sz w:val="16"/>
                <w:szCs w:val="16"/>
                <w:lang w:eastAsia="en-GB"/>
              </w:rPr>
            </w:pPr>
            <w:r>
              <w:rPr>
                <w:rFonts w:ascii="Calibri" w:hAnsi="Calibri"/>
                <w:color w:val="000000"/>
                <w:sz w:val="22"/>
              </w:rPr>
              <w:t>0.17</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980"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8"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4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BB1885" w:rsidRPr="006A6CE3" w:rsidTr="008F432F">
        <w:trPr>
          <w:trHeight w:val="224"/>
        </w:trPr>
        <w:tc>
          <w:tcPr>
            <w:tcW w:w="1416" w:type="pct"/>
            <w:shd w:val="clear" w:color="auto" w:fill="FFFFFF"/>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Industrial Systems</w:t>
            </w:r>
          </w:p>
        </w:tc>
        <w:tc>
          <w:tcPr>
            <w:tcW w:w="330"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31"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38"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07" w:type="pct"/>
            <w:shd w:val="clear" w:color="auto" w:fill="auto"/>
            <w:noWrap/>
            <w:vAlign w:val="bottom"/>
          </w:tcPr>
          <w:p w:rsidR="00BB1885" w:rsidRPr="006A6CE3" w:rsidRDefault="00BB1885" w:rsidP="00AA48B1">
            <w:pPr>
              <w:tabs>
                <w:tab w:val="left" w:pos="851"/>
              </w:tabs>
              <w:spacing w:before="0" w:after="0" w:line="240" w:lineRule="auto"/>
              <w:rPr>
                <w:rFonts w:cs="Arial"/>
                <w:color w:val="000000"/>
                <w:sz w:val="16"/>
                <w:szCs w:val="16"/>
                <w:lang w:eastAsia="en-GB"/>
              </w:rPr>
            </w:pPr>
            <w:r>
              <w:rPr>
                <w:rFonts w:ascii="Calibri" w:hAnsi="Calibri"/>
                <w:color w:val="000000"/>
                <w:sz w:val="22"/>
              </w:rPr>
              <w:t>0.08</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980"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8"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4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BB1885" w:rsidRPr="006A6CE3" w:rsidTr="008F432F">
        <w:trPr>
          <w:trHeight w:val="224"/>
        </w:trPr>
        <w:tc>
          <w:tcPr>
            <w:tcW w:w="1416" w:type="pct"/>
            <w:shd w:val="clear" w:color="auto" w:fill="FFFFFF"/>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Small Stationary Air Conditioning</w:t>
            </w:r>
          </w:p>
        </w:tc>
        <w:tc>
          <w:tcPr>
            <w:tcW w:w="330"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31"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38"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07" w:type="pct"/>
            <w:shd w:val="clear" w:color="auto" w:fill="auto"/>
            <w:noWrap/>
            <w:vAlign w:val="bottom"/>
          </w:tcPr>
          <w:p w:rsidR="00BB1885" w:rsidRPr="006A6CE3" w:rsidRDefault="00BB1885" w:rsidP="00AA48B1">
            <w:pPr>
              <w:tabs>
                <w:tab w:val="left" w:pos="851"/>
              </w:tabs>
              <w:spacing w:before="0" w:after="0" w:line="240" w:lineRule="auto"/>
              <w:rPr>
                <w:rFonts w:cs="Arial"/>
                <w:color w:val="000000"/>
                <w:sz w:val="16"/>
                <w:szCs w:val="16"/>
                <w:lang w:eastAsia="en-GB"/>
              </w:rPr>
            </w:pPr>
            <w:r>
              <w:rPr>
                <w:rFonts w:ascii="Calibri" w:hAnsi="Calibri"/>
                <w:color w:val="000000"/>
                <w:sz w:val="22"/>
              </w:rPr>
              <w:t>0.03</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980"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8"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4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BB1885" w:rsidRPr="006A6CE3" w:rsidTr="008F432F">
        <w:trPr>
          <w:trHeight w:val="224"/>
        </w:trPr>
        <w:tc>
          <w:tcPr>
            <w:tcW w:w="1416" w:type="pct"/>
            <w:shd w:val="clear" w:color="auto" w:fill="FFFFFF"/>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Medium Stationary Air Conditioning</w:t>
            </w:r>
          </w:p>
        </w:tc>
        <w:tc>
          <w:tcPr>
            <w:tcW w:w="330"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31"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38"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07" w:type="pct"/>
            <w:shd w:val="clear" w:color="auto" w:fill="auto"/>
            <w:noWrap/>
            <w:vAlign w:val="bottom"/>
          </w:tcPr>
          <w:p w:rsidR="00BB1885" w:rsidRPr="006A6CE3" w:rsidRDefault="00BB1885" w:rsidP="00AA48B1">
            <w:pPr>
              <w:tabs>
                <w:tab w:val="left" w:pos="851"/>
              </w:tabs>
              <w:spacing w:before="0" w:after="0" w:line="240" w:lineRule="auto"/>
              <w:rPr>
                <w:rFonts w:cs="Arial"/>
                <w:color w:val="000000"/>
                <w:sz w:val="16"/>
                <w:szCs w:val="16"/>
                <w:lang w:eastAsia="en-GB"/>
              </w:rPr>
            </w:pPr>
            <w:r>
              <w:rPr>
                <w:rFonts w:ascii="Calibri" w:hAnsi="Calibri"/>
                <w:color w:val="000000"/>
                <w:sz w:val="22"/>
              </w:rPr>
              <w:t>0.06</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980"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8"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4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BB1885" w:rsidRPr="006A6CE3" w:rsidTr="008F432F">
        <w:trPr>
          <w:trHeight w:val="224"/>
        </w:trPr>
        <w:tc>
          <w:tcPr>
            <w:tcW w:w="1416" w:type="pct"/>
            <w:shd w:val="clear" w:color="auto" w:fill="FFFFFF"/>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Large Stationary Air Conditioning (Chillers)</w:t>
            </w:r>
          </w:p>
        </w:tc>
        <w:tc>
          <w:tcPr>
            <w:tcW w:w="330"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31"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38"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07" w:type="pct"/>
            <w:shd w:val="clear" w:color="auto" w:fill="auto"/>
            <w:noWrap/>
            <w:vAlign w:val="bottom"/>
          </w:tcPr>
          <w:p w:rsidR="00BB1885" w:rsidRPr="006A6CE3" w:rsidRDefault="00BB1885" w:rsidP="00AA48B1">
            <w:pPr>
              <w:tabs>
                <w:tab w:val="left" w:pos="851"/>
              </w:tabs>
              <w:spacing w:before="0" w:after="0" w:line="240" w:lineRule="auto"/>
              <w:rPr>
                <w:rFonts w:cs="Arial"/>
                <w:color w:val="000000"/>
                <w:sz w:val="16"/>
                <w:szCs w:val="16"/>
                <w:lang w:eastAsia="en-GB"/>
              </w:rPr>
            </w:pPr>
            <w:r>
              <w:rPr>
                <w:rFonts w:ascii="Calibri" w:hAnsi="Calibri"/>
                <w:color w:val="000000"/>
                <w:sz w:val="22"/>
              </w:rPr>
              <w:t>0.03</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980"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8"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4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BB1885" w:rsidRPr="006A6CE3" w:rsidTr="008F432F">
        <w:trPr>
          <w:trHeight w:val="224"/>
        </w:trPr>
        <w:tc>
          <w:tcPr>
            <w:tcW w:w="1416" w:type="pct"/>
            <w:shd w:val="clear" w:color="auto" w:fill="FFFFFF"/>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Heat Pumps</w:t>
            </w:r>
          </w:p>
        </w:tc>
        <w:tc>
          <w:tcPr>
            <w:tcW w:w="330"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31"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38"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07" w:type="pct"/>
            <w:shd w:val="clear" w:color="auto" w:fill="auto"/>
            <w:noWrap/>
            <w:vAlign w:val="bottom"/>
          </w:tcPr>
          <w:p w:rsidR="00BB1885" w:rsidRPr="006A6CE3" w:rsidRDefault="00BB1885" w:rsidP="00AA48B1">
            <w:pPr>
              <w:tabs>
                <w:tab w:val="left" w:pos="851"/>
              </w:tabs>
              <w:spacing w:before="0" w:after="0" w:line="240" w:lineRule="auto"/>
              <w:rPr>
                <w:rFonts w:cs="Arial"/>
                <w:color w:val="000000"/>
                <w:sz w:val="16"/>
                <w:szCs w:val="16"/>
                <w:lang w:eastAsia="en-GB"/>
              </w:rPr>
            </w:pPr>
            <w:r>
              <w:rPr>
                <w:rFonts w:ascii="Calibri" w:hAnsi="Calibri"/>
                <w:color w:val="000000"/>
                <w:sz w:val="22"/>
              </w:rPr>
              <w:t>0.06</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980"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8"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4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BB1885" w:rsidRPr="006A6CE3" w:rsidTr="008F432F">
        <w:trPr>
          <w:trHeight w:val="224"/>
        </w:trPr>
        <w:tc>
          <w:tcPr>
            <w:tcW w:w="1416" w:type="pct"/>
            <w:shd w:val="clear" w:color="auto" w:fill="FFFFFF"/>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Land Transport Refrigeration</w:t>
            </w:r>
          </w:p>
        </w:tc>
        <w:tc>
          <w:tcPr>
            <w:tcW w:w="330"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31"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38"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07" w:type="pct"/>
            <w:shd w:val="clear" w:color="auto" w:fill="auto"/>
            <w:noWrap/>
            <w:vAlign w:val="bottom"/>
          </w:tcPr>
          <w:p w:rsidR="00BB1885" w:rsidRPr="006A6CE3" w:rsidRDefault="00BB1885" w:rsidP="00AA48B1">
            <w:pPr>
              <w:tabs>
                <w:tab w:val="left" w:pos="851"/>
              </w:tabs>
              <w:spacing w:before="0" w:after="0" w:line="240" w:lineRule="auto"/>
              <w:rPr>
                <w:rFonts w:cs="Arial"/>
                <w:color w:val="000000"/>
                <w:sz w:val="16"/>
                <w:szCs w:val="16"/>
                <w:lang w:eastAsia="en-GB"/>
              </w:rPr>
            </w:pPr>
            <w:r>
              <w:rPr>
                <w:rFonts w:ascii="Calibri" w:hAnsi="Calibri"/>
                <w:color w:val="000000"/>
                <w:sz w:val="22"/>
              </w:rPr>
              <w:t>0.15</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980"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8"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4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BB1885" w:rsidRPr="006A6CE3" w:rsidTr="008F432F">
        <w:trPr>
          <w:trHeight w:val="224"/>
        </w:trPr>
        <w:tc>
          <w:tcPr>
            <w:tcW w:w="1416" w:type="pct"/>
            <w:shd w:val="clear" w:color="auto" w:fill="FFFFFF"/>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Marine Transport Refrigeration</w:t>
            </w:r>
          </w:p>
        </w:tc>
        <w:tc>
          <w:tcPr>
            <w:tcW w:w="330"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31"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38"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07" w:type="pct"/>
            <w:shd w:val="clear" w:color="auto" w:fill="auto"/>
            <w:noWrap/>
            <w:vAlign w:val="bottom"/>
          </w:tcPr>
          <w:p w:rsidR="00BB1885" w:rsidRPr="006A6CE3" w:rsidRDefault="00BB1885" w:rsidP="00AA48B1">
            <w:pPr>
              <w:tabs>
                <w:tab w:val="left" w:pos="851"/>
              </w:tabs>
              <w:spacing w:before="0" w:after="0" w:line="240" w:lineRule="auto"/>
              <w:rPr>
                <w:rFonts w:cs="Arial"/>
                <w:color w:val="000000"/>
                <w:sz w:val="16"/>
                <w:szCs w:val="16"/>
                <w:lang w:eastAsia="en-GB"/>
              </w:rPr>
            </w:pPr>
            <w:r>
              <w:rPr>
                <w:rFonts w:ascii="Calibri" w:hAnsi="Calibri"/>
                <w:color w:val="000000"/>
                <w:sz w:val="22"/>
              </w:rPr>
              <w:t>0.39</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980"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8"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4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BB1885" w:rsidRPr="006A6CE3" w:rsidTr="008F432F">
        <w:trPr>
          <w:trHeight w:val="224"/>
        </w:trPr>
        <w:tc>
          <w:tcPr>
            <w:tcW w:w="1416" w:type="pct"/>
            <w:shd w:val="clear" w:color="auto" w:fill="FFFFFF"/>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Light-Duty Mobile Air Conditioning</w:t>
            </w:r>
          </w:p>
        </w:tc>
        <w:tc>
          <w:tcPr>
            <w:tcW w:w="330"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31"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38"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07" w:type="pct"/>
            <w:shd w:val="clear" w:color="auto" w:fill="auto"/>
            <w:noWrap/>
            <w:vAlign w:val="bottom"/>
          </w:tcPr>
          <w:p w:rsidR="00BB1885" w:rsidRPr="006A6CE3" w:rsidRDefault="00BB1885" w:rsidP="00AA48B1">
            <w:pPr>
              <w:tabs>
                <w:tab w:val="left" w:pos="851"/>
              </w:tabs>
              <w:spacing w:before="0" w:after="0" w:line="240" w:lineRule="auto"/>
              <w:rPr>
                <w:rFonts w:cs="Arial"/>
                <w:color w:val="000000"/>
                <w:sz w:val="16"/>
                <w:szCs w:val="16"/>
                <w:lang w:eastAsia="en-GB"/>
              </w:rPr>
            </w:pPr>
            <w:r>
              <w:rPr>
                <w:rFonts w:ascii="Calibri" w:hAnsi="Calibri"/>
                <w:color w:val="000000"/>
                <w:sz w:val="22"/>
              </w:rPr>
              <w:t>0.1</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980"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8"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4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BB1885" w:rsidRPr="006A6CE3" w:rsidTr="008F432F">
        <w:trPr>
          <w:trHeight w:val="224"/>
        </w:trPr>
        <w:tc>
          <w:tcPr>
            <w:tcW w:w="1416" w:type="pct"/>
            <w:shd w:val="clear" w:color="auto" w:fill="FFFFFF"/>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Other Mobile Air Conditioning</w:t>
            </w:r>
          </w:p>
        </w:tc>
        <w:tc>
          <w:tcPr>
            <w:tcW w:w="330"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31"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38"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407" w:type="pct"/>
            <w:shd w:val="clear" w:color="auto" w:fill="auto"/>
            <w:noWrap/>
            <w:vAlign w:val="bottom"/>
          </w:tcPr>
          <w:p w:rsidR="00BB1885" w:rsidRPr="006A6CE3" w:rsidRDefault="00BB1885" w:rsidP="00AA48B1">
            <w:pPr>
              <w:tabs>
                <w:tab w:val="left" w:pos="851"/>
              </w:tabs>
              <w:spacing w:before="0" w:after="0" w:line="240" w:lineRule="auto"/>
              <w:rPr>
                <w:rFonts w:cs="Arial"/>
                <w:color w:val="000000"/>
                <w:sz w:val="16"/>
                <w:szCs w:val="16"/>
                <w:lang w:eastAsia="en-GB"/>
              </w:rPr>
            </w:pPr>
            <w:r>
              <w:rPr>
                <w:rFonts w:ascii="Calibri" w:hAnsi="Calibri"/>
                <w:color w:val="000000"/>
                <w:sz w:val="22"/>
              </w:rPr>
              <w:t>0.1</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980"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138"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412" w:type="pct"/>
            <w:shd w:val="clear" w:color="auto" w:fill="auto"/>
            <w:noWrap/>
            <w:hideMark/>
          </w:tcPr>
          <w:p w:rsidR="00BB1885" w:rsidRPr="006A6CE3" w:rsidRDefault="00BB1885"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BB1885" w:rsidRPr="006A6CE3" w:rsidTr="00BB1885">
        <w:trPr>
          <w:trHeight w:val="224"/>
        </w:trPr>
        <w:tc>
          <w:tcPr>
            <w:tcW w:w="1416" w:type="pct"/>
            <w:shd w:val="clear" w:color="auto" w:fill="FFFFFF"/>
            <w:hideMark/>
          </w:tcPr>
          <w:p w:rsidR="00BB1885" w:rsidRPr="006A6CE3" w:rsidRDefault="00BB1885"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Total</w:t>
            </w:r>
          </w:p>
        </w:tc>
        <w:tc>
          <w:tcPr>
            <w:tcW w:w="330" w:type="pct"/>
            <w:shd w:val="clear" w:color="auto" w:fill="auto"/>
            <w:noWrap/>
            <w:hideMark/>
          </w:tcPr>
          <w:p w:rsidR="00BB1885" w:rsidRPr="006A6CE3" w:rsidRDefault="00BB1885"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431" w:type="pct"/>
            <w:shd w:val="clear" w:color="auto" w:fill="auto"/>
            <w:noWrap/>
            <w:hideMark/>
          </w:tcPr>
          <w:p w:rsidR="00BB1885" w:rsidRPr="006A6CE3" w:rsidRDefault="00BB1885"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438" w:type="pct"/>
            <w:shd w:val="clear" w:color="auto" w:fill="auto"/>
            <w:noWrap/>
            <w:hideMark/>
          </w:tcPr>
          <w:p w:rsidR="00BB1885" w:rsidRPr="006A6CE3" w:rsidRDefault="00BB1885"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407" w:type="pct"/>
            <w:shd w:val="clear" w:color="auto" w:fill="auto"/>
            <w:noWrap/>
            <w:hideMark/>
          </w:tcPr>
          <w:p w:rsidR="00BB1885" w:rsidRPr="006A6CE3" w:rsidRDefault="00BB1885"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112" w:type="pct"/>
            <w:shd w:val="clear" w:color="auto" w:fill="auto"/>
            <w:noWrap/>
            <w:hideMark/>
          </w:tcPr>
          <w:p w:rsidR="00BB1885" w:rsidRPr="006A6CE3" w:rsidRDefault="00BB1885"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980" w:type="pct"/>
            <w:shd w:val="clear" w:color="auto" w:fill="auto"/>
            <w:noWrap/>
            <w:hideMark/>
          </w:tcPr>
          <w:p w:rsidR="00BB1885" w:rsidRPr="006A6CE3" w:rsidRDefault="00BB1885"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138" w:type="pct"/>
            <w:shd w:val="clear" w:color="auto" w:fill="auto"/>
            <w:noWrap/>
            <w:hideMark/>
          </w:tcPr>
          <w:p w:rsidR="00BB1885" w:rsidRPr="006A6CE3" w:rsidRDefault="00BB1885"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412" w:type="pct"/>
            <w:shd w:val="clear" w:color="auto" w:fill="auto"/>
            <w:noWrap/>
            <w:hideMark/>
          </w:tcPr>
          <w:p w:rsidR="00BB1885" w:rsidRPr="006A6CE3" w:rsidRDefault="00BB1885"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r>
    </w:tbl>
    <w:p w:rsidR="00913351" w:rsidRPr="006A6CE3" w:rsidRDefault="00913351" w:rsidP="0086258B">
      <w:pPr>
        <w:numPr>
          <w:ilvl w:val="0"/>
          <w:numId w:val="24"/>
        </w:numPr>
        <w:tabs>
          <w:tab w:val="left" w:pos="851"/>
        </w:tabs>
        <w:spacing w:before="200" w:after="200"/>
        <w:rPr>
          <w:rFonts w:cs="Arial"/>
        </w:rPr>
      </w:pPr>
      <w:r w:rsidRPr="006A6CE3">
        <w:rPr>
          <w:rFonts w:cs="Arial"/>
          <w:b/>
        </w:rPr>
        <w:t>Determine disposal emissions</w:t>
      </w:r>
    </w:p>
    <w:p w:rsidR="00913351" w:rsidRPr="006A6CE3" w:rsidRDefault="00913351" w:rsidP="00E204D9">
      <w:pPr>
        <w:tabs>
          <w:tab w:val="left" w:pos="851"/>
        </w:tabs>
        <w:ind w:left="720"/>
        <w:rPr>
          <w:rFonts w:cs="Arial"/>
        </w:rPr>
      </w:pPr>
      <w:r w:rsidRPr="006A6CE3">
        <w:rPr>
          <w:rFonts w:cs="Arial"/>
        </w:rPr>
        <w:lastRenderedPageBreak/>
        <w:t>Identify any pieces of equipment that were disposed of on-site during the reporting period. Emissions from equipment that was sent offsite for third party recycling, reclamation or disposal are not the responsibility of your organisation. For each piece of disposed equipment, use the table below to estimate emissions.</w:t>
      </w:r>
    </w:p>
    <w:tbl>
      <w:tblPr>
        <w:tblW w:w="13642" w:type="dxa"/>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865"/>
        <w:gridCol w:w="928"/>
        <w:gridCol w:w="316"/>
        <w:gridCol w:w="1267"/>
        <w:gridCol w:w="316"/>
        <w:gridCol w:w="1250"/>
        <w:gridCol w:w="316"/>
        <w:gridCol w:w="1206"/>
        <w:gridCol w:w="316"/>
        <w:gridCol w:w="2276"/>
        <w:gridCol w:w="383"/>
        <w:gridCol w:w="1203"/>
      </w:tblGrid>
      <w:tr w:rsidR="00913351" w:rsidRPr="006A6CE3" w:rsidTr="00635709">
        <w:trPr>
          <w:trHeight w:val="657"/>
        </w:trPr>
        <w:tc>
          <w:tcPr>
            <w:tcW w:w="13642" w:type="dxa"/>
            <w:gridSpan w:val="12"/>
            <w:shd w:val="clear" w:color="auto" w:fill="878800"/>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b/>
                <w:bCs/>
                <w:color w:val="FFFFFF"/>
                <w:sz w:val="20"/>
                <w:lang w:eastAsia="en-GB"/>
              </w:rPr>
              <w:t>Emissions from Disposal of Refrigeration and Air-conditioning Equipment</w:t>
            </w:r>
          </w:p>
        </w:tc>
      </w:tr>
      <w:tr w:rsidR="00C64465" w:rsidRPr="006A6CE3" w:rsidTr="00635709">
        <w:trPr>
          <w:trHeight w:val="657"/>
        </w:trPr>
        <w:tc>
          <w:tcPr>
            <w:tcW w:w="3865" w:type="dxa"/>
            <w:shd w:val="clear" w:color="auto" w:fill="FFFFFF"/>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Refrigerant Type</w:t>
            </w:r>
          </w:p>
        </w:tc>
        <w:tc>
          <w:tcPr>
            <w:tcW w:w="928"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Number of Units</w:t>
            </w:r>
          </w:p>
        </w:tc>
        <w:tc>
          <w:tcPr>
            <w:tcW w:w="316"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x</w:t>
            </w:r>
          </w:p>
        </w:tc>
        <w:tc>
          <w:tcPr>
            <w:tcW w:w="1267"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Equipment Charge Capacity (kg)</w:t>
            </w:r>
          </w:p>
        </w:tc>
        <w:tc>
          <w:tcPr>
            <w:tcW w:w="316"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x</w:t>
            </w:r>
          </w:p>
        </w:tc>
        <w:tc>
          <w:tcPr>
            <w:tcW w:w="1250"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xml:space="preserve">Capacity remaining at disposal </w:t>
            </w:r>
            <w:r w:rsidR="00635709">
              <w:rPr>
                <w:rFonts w:cs="Arial"/>
                <w:color w:val="000000"/>
                <w:sz w:val="20"/>
                <w:lang w:eastAsia="en-GB"/>
              </w:rPr>
              <w:t>factor</w:t>
            </w:r>
            <w:r w:rsidRPr="006A6CE3">
              <w:rPr>
                <w:rFonts w:cs="Arial"/>
                <w:color w:val="000000"/>
                <w:sz w:val="20"/>
                <w:lang w:eastAsia="en-GB"/>
              </w:rPr>
              <w:t xml:space="preserve"> </w:t>
            </w:r>
          </w:p>
        </w:tc>
        <w:tc>
          <w:tcPr>
            <w:tcW w:w="316"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x</w:t>
            </w:r>
          </w:p>
        </w:tc>
        <w:tc>
          <w:tcPr>
            <w:tcW w:w="1206"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xml:space="preserve">Refrigerant recovered </w:t>
            </w:r>
            <w:r w:rsidR="00BB1885">
              <w:rPr>
                <w:rFonts w:cs="Arial"/>
                <w:color w:val="000000"/>
                <w:sz w:val="20"/>
                <w:lang w:eastAsia="en-GB"/>
              </w:rPr>
              <w:t xml:space="preserve"> </w:t>
            </w:r>
            <w:r w:rsidR="00635709">
              <w:rPr>
                <w:rFonts w:cs="Arial"/>
                <w:color w:val="000000"/>
                <w:sz w:val="20"/>
                <w:lang w:eastAsia="en-GB"/>
              </w:rPr>
              <w:t>factor</w:t>
            </w:r>
          </w:p>
        </w:tc>
        <w:tc>
          <w:tcPr>
            <w:tcW w:w="316"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x</w:t>
            </w:r>
          </w:p>
        </w:tc>
        <w:tc>
          <w:tcPr>
            <w:tcW w:w="2276"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Global Warming Potential of refrigerant</w:t>
            </w:r>
          </w:p>
        </w:tc>
        <w:tc>
          <w:tcPr>
            <w:tcW w:w="383"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203"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Total kg CO</w:t>
            </w:r>
            <w:r w:rsidRPr="006A6CE3">
              <w:rPr>
                <w:rFonts w:cs="Arial"/>
                <w:color w:val="000000"/>
                <w:sz w:val="20"/>
                <w:vertAlign w:val="subscript"/>
                <w:lang w:eastAsia="en-GB"/>
              </w:rPr>
              <w:t>2</w:t>
            </w:r>
            <w:r w:rsidRPr="006A6CE3">
              <w:rPr>
                <w:rFonts w:cs="Arial"/>
                <w:color w:val="000000"/>
                <w:sz w:val="20"/>
                <w:lang w:eastAsia="en-GB"/>
              </w:rPr>
              <w:t xml:space="preserve"> equivalent</w:t>
            </w:r>
          </w:p>
        </w:tc>
      </w:tr>
      <w:tr w:rsidR="00635709" w:rsidRPr="006A6CE3" w:rsidTr="008F432F">
        <w:trPr>
          <w:trHeight w:val="219"/>
        </w:trPr>
        <w:tc>
          <w:tcPr>
            <w:tcW w:w="3865" w:type="dxa"/>
            <w:shd w:val="clear" w:color="auto" w:fill="FFFFFF"/>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Domestic Refrigeration</w:t>
            </w:r>
          </w:p>
        </w:tc>
        <w:tc>
          <w:tcPr>
            <w:tcW w:w="928"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67"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50" w:type="dxa"/>
            <w:shd w:val="clear" w:color="auto" w:fill="auto"/>
            <w:noWrap/>
            <w:vAlign w:val="bottom"/>
            <w:hideMark/>
          </w:tcPr>
          <w:p w:rsidR="00635709" w:rsidRPr="006A6CE3" w:rsidRDefault="00635709" w:rsidP="00AA48B1">
            <w:pPr>
              <w:tabs>
                <w:tab w:val="left" w:pos="851"/>
              </w:tabs>
              <w:spacing w:before="0" w:after="0" w:line="240" w:lineRule="auto"/>
              <w:rPr>
                <w:rFonts w:cs="Arial"/>
                <w:color w:val="000000"/>
                <w:sz w:val="16"/>
                <w:szCs w:val="16"/>
                <w:lang w:eastAsia="en-GB"/>
              </w:rPr>
            </w:pPr>
            <w:r>
              <w:rPr>
                <w:rFonts w:ascii="Calibri" w:hAnsi="Calibri"/>
                <w:color w:val="000000"/>
                <w:sz w:val="22"/>
              </w:rPr>
              <w:t>0.8</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06" w:type="dxa"/>
            <w:shd w:val="clear" w:color="auto" w:fill="auto"/>
            <w:noWrap/>
            <w:vAlign w:val="bottom"/>
            <w:hideMark/>
          </w:tcPr>
          <w:p w:rsidR="00635709" w:rsidRPr="006A6CE3" w:rsidRDefault="00635709" w:rsidP="00AA48B1">
            <w:pPr>
              <w:tabs>
                <w:tab w:val="left" w:pos="851"/>
              </w:tabs>
              <w:spacing w:before="0" w:after="0" w:line="240" w:lineRule="auto"/>
              <w:rPr>
                <w:rFonts w:cs="Arial"/>
                <w:color w:val="000000"/>
                <w:sz w:val="16"/>
                <w:szCs w:val="16"/>
                <w:lang w:eastAsia="en-GB"/>
              </w:rPr>
            </w:pPr>
            <w:r>
              <w:rPr>
                <w:rFonts w:ascii="Calibri" w:hAnsi="Calibri"/>
                <w:color w:val="000000"/>
                <w:sz w:val="22"/>
              </w:rPr>
              <w:t>0.65</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227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83"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1203"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635709" w:rsidRPr="006A6CE3" w:rsidTr="008F432F">
        <w:trPr>
          <w:trHeight w:val="219"/>
        </w:trPr>
        <w:tc>
          <w:tcPr>
            <w:tcW w:w="3865" w:type="dxa"/>
            <w:shd w:val="clear" w:color="auto" w:fill="FFFFFF"/>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Small Hermetic Stand-Alone Refrigeration Units</w:t>
            </w:r>
          </w:p>
        </w:tc>
        <w:tc>
          <w:tcPr>
            <w:tcW w:w="928"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67"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50" w:type="dxa"/>
            <w:shd w:val="clear" w:color="auto" w:fill="auto"/>
            <w:noWrap/>
            <w:vAlign w:val="bottom"/>
            <w:hideMark/>
          </w:tcPr>
          <w:p w:rsidR="00635709" w:rsidRPr="006A6CE3" w:rsidRDefault="00635709" w:rsidP="00AA48B1">
            <w:pPr>
              <w:tabs>
                <w:tab w:val="left" w:pos="851"/>
              </w:tabs>
              <w:spacing w:before="0" w:after="0" w:line="240" w:lineRule="auto"/>
              <w:rPr>
                <w:rFonts w:cs="Arial"/>
                <w:color w:val="000000"/>
                <w:sz w:val="16"/>
                <w:szCs w:val="16"/>
                <w:lang w:eastAsia="en-GB"/>
              </w:rPr>
            </w:pPr>
            <w:r>
              <w:rPr>
                <w:rFonts w:ascii="Calibri" w:hAnsi="Calibri"/>
                <w:color w:val="000000"/>
                <w:sz w:val="22"/>
              </w:rPr>
              <w:t>0.8</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06" w:type="dxa"/>
            <w:shd w:val="clear" w:color="auto" w:fill="auto"/>
            <w:noWrap/>
            <w:vAlign w:val="bottom"/>
            <w:hideMark/>
          </w:tcPr>
          <w:p w:rsidR="00635709" w:rsidRPr="006A6CE3" w:rsidRDefault="00635709" w:rsidP="00AA48B1">
            <w:pPr>
              <w:tabs>
                <w:tab w:val="left" w:pos="851"/>
              </w:tabs>
              <w:spacing w:before="0" w:after="0" w:line="240" w:lineRule="auto"/>
              <w:rPr>
                <w:rFonts w:cs="Arial"/>
                <w:color w:val="000000"/>
                <w:sz w:val="16"/>
                <w:szCs w:val="16"/>
                <w:lang w:eastAsia="en-GB"/>
              </w:rPr>
            </w:pPr>
            <w:r>
              <w:rPr>
                <w:rFonts w:ascii="Calibri" w:hAnsi="Calibri"/>
                <w:color w:val="000000"/>
                <w:sz w:val="22"/>
              </w:rPr>
              <w:t>0.6</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227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83"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1203"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635709" w:rsidRPr="006A6CE3" w:rsidTr="008F432F">
        <w:trPr>
          <w:trHeight w:val="219"/>
        </w:trPr>
        <w:tc>
          <w:tcPr>
            <w:tcW w:w="3865" w:type="dxa"/>
            <w:shd w:val="clear" w:color="auto" w:fill="FFFFFF"/>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Condensing Units</w:t>
            </w:r>
          </w:p>
        </w:tc>
        <w:tc>
          <w:tcPr>
            <w:tcW w:w="928"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67"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50" w:type="dxa"/>
            <w:shd w:val="clear" w:color="auto" w:fill="auto"/>
            <w:noWrap/>
            <w:vAlign w:val="bottom"/>
            <w:hideMark/>
          </w:tcPr>
          <w:p w:rsidR="00635709" w:rsidRPr="006A6CE3" w:rsidRDefault="00635709" w:rsidP="00AA48B1">
            <w:pPr>
              <w:tabs>
                <w:tab w:val="left" w:pos="851"/>
              </w:tabs>
              <w:spacing w:before="0" w:after="0" w:line="240" w:lineRule="auto"/>
              <w:rPr>
                <w:rFonts w:cs="Arial"/>
                <w:color w:val="000000"/>
                <w:sz w:val="16"/>
                <w:szCs w:val="16"/>
                <w:lang w:eastAsia="en-GB"/>
              </w:rPr>
            </w:pPr>
            <w:r>
              <w:rPr>
                <w:rFonts w:ascii="Calibri" w:hAnsi="Calibri"/>
                <w:color w:val="000000"/>
                <w:sz w:val="22"/>
              </w:rPr>
              <w:t>0.8</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06" w:type="dxa"/>
            <w:shd w:val="clear" w:color="auto" w:fill="auto"/>
            <w:noWrap/>
            <w:vAlign w:val="bottom"/>
            <w:hideMark/>
          </w:tcPr>
          <w:p w:rsidR="00635709" w:rsidRPr="006A6CE3" w:rsidRDefault="00635709" w:rsidP="00AA48B1">
            <w:pPr>
              <w:tabs>
                <w:tab w:val="left" w:pos="851"/>
              </w:tabs>
              <w:spacing w:before="0" w:after="0" w:line="240" w:lineRule="auto"/>
              <w:rPr>
                <w:rFonts w:cs="Arial"/>
                <w:color w:val="000000"/>
                <w:sz w:val="16"/>
                <w:szCs w:val="16"/>
                <w:lang w:eastAsia="en-GB"/>
              </w:rPr>
            </w:pPr>
            <w:r>
              <w:rPr>
                <w:rFonts w:ascii="Calibri" w:hAnsi="Calibri"/>
                <w:color w:val="000000"/>
                <w:sz w:val="22"/>
              </w:rPr>
              <w:t>0.85</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227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83"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1203"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635709" w:rsidRPr="006A6CE3" w:rsidTr="008F432F">
        <w:trPr>
          <w:trHeight w:val="219"/>
        </w:trPr>
        <w:tc>
          <w:tcPr>
            <w:tcW w:w="3865" w:type="dxa"/>
            <w:shd w:val="clear" w:color="auto" w:fill="FFFFFF"/>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Centralised Supermarket Refrigeration Systems</w:t>
            </w:r>
          </w:p>
        </w:tc>
        <w:tc>
          <w:tcPr>
            <w:tcW w:w="928"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67"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50" w:type="dxa"/>
            <w:shd w:val="clear" w:color="auto" w:fill="auto"/>
            <w:noWrap/>
            <w:vAlign w:val="bottom"/>
            <w:hideMark/>
          </w:tcPr>
          <w:p w:rsidR="00635709" w:rsidRPr="006A6CE3" w:rsidRDefault="00635709" w:rsidP="00AA48B1">
            <w:pPr>
              <w:tabs>
                <w:tab w:val="left" w:pos="851"/>
              </w:tabs>
              <w:spacing w:before="0" w:after="0" w:line="240" w:lineRule="auto"/>
              <w:rPr>
                <w:rFonts w:cs="Arial"/>
                <w:color w:val="000000"/>
                <w:sz w:val="16"/>
                <w:szCs w:val="16"/>
                <w:lang w:eastAsia="en-GB"/>
              </w:rPr>
            </w:pPr>
            <w:r>
              <w:rPr>
                <w:rFonts w:ascii="Calibri" w:hAnsi="Calibri"/>
                <w:color w:val="000000"/>
                <w:sz w:val="22"/>
              </w:rPr>
              <w:t>1</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06" w:type="dxa"/>
            <w:shd w:val="clear" w:color="auto" w:fill="auto"/>
            <w:noWrap/>
            <w:vAlign w:val="bottom"/>
            <w:hideMark/>
          </w:tcPr>
          <w:p w:rsidR="00635709" w:rsidRPr="006A6CE3" w:rsidRDefault="00635709" w:rsidP="00AA48B1">
            <w:pPr>
              <w:tabs>
                <w:tab w:val="left" w:pos="851"/>
              </w:tabs>
              <w:spacing w:before="0" w:after="0" w:line="240" w:lineRule="auto"/>
              <w:rPr>
                <w:rFonts w:cs="Arial"/>
                <w:color w:val="000000"/>
                <w:sz w:val="16"/>
                <w:szCs w:val="16"/>
                <w:lang w:eastAsia="en-GB"/>
              </w:rPr>
            </w:pPr>
            <w:r>
              <w:rPr>
                <w:rFonts w:ascii="Calibri" w:hAnsi="Calibri"/>
                <w:color w:val="000000"/>
                <w:sz w:val="22"/>
              </w:rPr>
              <w:t>0.92</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227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83"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1203"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635709" w:rsidRPr="006A6CE3" w:rsidTr="008F432F">
        <w:trPr>
          <w:trHeight w:val="219"/>
        </w:trPr>
        <w:tc>
          <w:tcPr>
            <w:tcW w:w="3865" w:type="dxa"/>
            <w:shd w:val="clear" w:color="auto" w:fill="FFFFFF"/>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Industrial Systems</w:t>
            </w:r>
          </w:p>
        </w:tc>
        <w:tc>
          <w:tcPr>
            <w:tcW w:w="928"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67"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50" w:type="dxa"/>
            <w:shd w:val="clear" w:color="auto" w:fill="auto"/>
            <w:noWrap/>
            <w:vAlign w:val="bottom"/>
            <w:hideMark/>
          </w:tcPr>
          <w:p w:rsidR="00635709" w:rsidRPr="006A6CE3" w:rsidRDefault="00635709" w:rsidP="00AA48B1">
            <w:pPr>
              <w:tabs>
                <w:tab w:val="left" w:pos="851"/>
              </w:tabs>
              <w:spacing w:before="0" w:after="0" w:line="240" w:lineRule="auto"/>
              <w:rPr>
                <w:rFonts w:cs="Arial"/>
                <w:color w:val="000000"/>
                <w:sz w:val="16"/>
                <w:szCs w:val="16"/>
                <w:lang w:eastAsia="en-GB"/>
              </w:rPr>
            </w:pPr>
            <w:r>
              <w:rPr>
                <w:rFonts w:ascii="Calibri" w:hAnsi="Calibri"/>
                <w:color w:val="000000"/>
                <w:sz w:val="22"/>
              </w:rPr>
              <w:t>1</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06" w:type="dxa"/>
            <w:shd w:val="clear" w:color="auto" w:fill="auto"/>
            <w:noWrap/>
            <w:vAlign w:val="bottom"/>
            <w:hideMark/>
          </w:tcPr>
          <w:p w:rsidR="00635709" w:rsidRPr="006A6CE3" w:rsidRDefault="00635709" w:rsidP="00AA48B1">
            <w:pPr>
              <w:tabs>
                <w:tab w:val="left" w:pos="851"/>
              </w:tabs>
              <w:spacing w:before="0" w:after="0" w:line="240" w:lineRule="auto"/>
              <w:rPr>
                <w:rFonts w:cs="Arial"/>
                <w:color w:val="000000"/>
                <w:sz w:val="16"/>
                <w:szCs w:val="16"/>
                <w:lang w:eastAsia="en-GB"/>
              </w:rPr>
            </w:pPr>
            <w:r>
              <w:rPr>
                <w:rFonts w:ascii="Calibri" w:hAnsi="Calibri"/>
                <w:color w:val="000000"/>
                <w:sz w:val="22"/>
              </w:rPr>
              <w:t>0.85</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227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83"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1203"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635709" w:rsidRPr="006A6CE3" w:rsidTr="008F432F">
        <w:trPr>
          <w:trHeight w:val="219"/>
        </w:trPr>
        <w:tc>
          <w:tcPr>
            <w:tcW w:w="3865" w:type="dxa"/>
            <w:shd w:val="clear" w:color="auto" w:fill="FFFFFF"/>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Small Stationary Air Conditioning</w:t>
            </w:r>
          </w:p>
        </w:tc>
        <w:tc>
          <w:tcPr>
            <w:tcW w:w="928"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67"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50" w:type="dxa"/>
            <w:shd w:val="clear" w:color="auto" w:fill="auto"/>
            <w:noWrap/>
            <w:vAlign w:val="bottom"/>
            <w:hideMark/>
          </w:tcPr>
          <w:p w:rsidR="00635709" w:rsidRPr="006A6CE3" w:rsidRDefault="00635709" w:rsidP="00AA48B1">
            <w:pPr>
              <w:tabs>
                <w:tab w:val="left" w:pos="851"/>
              </w:tabs>
              <w:spacing w:before="0" w:after="0" w:line="240" w:lineRule="auto"/>
              <w:rPr>
                <w:rFonts w:cs="Arial"/>
                <w:color w:val="000000"/>
                <w:sz w:val="16"/>
                <w:szCs w:val="16"/>
                <w:lang w:eastAsia="en-GB"/>
              </w:rPr>
            </w:pPr>
            <w:r>
              <w:rPr>
                <w:rFonts w:ascii="Calibri" w:hAnsi="Calibri"/>
                <w:color w:val="000000"/>
                <w:sz w:val="22"/>
              </w:rPr>
              <w:t>0.8</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06" w:type="dxa"/>
            <w:shd w:val="clear" w:color="auto" w:fill="auto"/>
            <w:noWrap/>
            <w:vAlign w:val="bottom"/>
            <w:hideMark/>
          </w:tcPr>
          <w:p w:rsidR="00635709" w:rsidRPr="006A6CE3" w:rsidRDefault="00635709" w:rsidP="00AA48B1">
            <w:pPr>
              <w:tabs>
                <w:tab w:val="left" w:pos="851"/>
              </w:tabs>
              <w:spacing w:before="0" w:after="0" w:line="240" w:lineRule="auto"/>
              <w:rPr>
                <w:rFonts w:cs="Arial"/>
                <w:color w:val="000000"/>
                <w:sz w:val="16"/>
                <w:szCs w:val="16"/>
                <w:lang w:eastAsia="en-GB"/>
              </w:rPr>
            </w:pPr>
            <w:r>
              <w:rPr>
                <w:rFonts w:ascii="Calibri" w:hAnsi="Calibri"/>
                <w:color w:val="000000"/>
                <w:sz w:val="22"/>
              </w:rPr>
              <w:t>0.7</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227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83"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1203"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635709" w:rsidRPr="006A6CE3" w:rsidTr="008F432F">
        <w:trPr>
          <w:trHeight w:val="219"/>
        </w:trPr>
        <w:tc>
          <w:tcPr>
            <w:tcW w:w="3865" w:type="dxa"/>
            <w:shd w:val="clear" w:color="auto" w:fill="FFFFFF"/>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Medium Stationary Air Conditioning</w:t>
            </w:r>
          </w:p>
        </w:tc>
        <w:tc>
          <w:tcPr>
            <w:tcW w:w="928"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67"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50" w:type="dxa"/>
            <w:shd w:val="clear" w:color="auto" w:fill="auto"/>
            <w:noWrap/>
            <w:vAlign w:val="bottom"/>
            <w:hideMark/>
          </w:tcPr>
          <w:p w:rsidR="00635709" w:rsidRPr="006A6CE3" w:rsidRDefault="00635709" w:rsidP="00AA48B1">
            <w:pPr>
              <w:tabs>
                <w:tab w:val="left" w:pos="851"/>
              </w:tabs>
              <w:spacing w:before="0" w:after="0" w:line="240" w:lineRule="auto"/>
              <w:rPr>
                <w:rFonts w:cs="Arial"/>
                <w:color w:val="000000"/>
                <w:sz w:val="16"/>
                <w:szCs w:val="16"/>
                <w:lang w:eastAsia="en-GB"/>
              </w:rPr>
            </w:pPr>
            <w:r>
              <w:rPr>
                <w:rFonts w:ascii="Calibri" w:hAnsi="Calibri"/>
                <w:color w:val="000000"/>
                <w:sz w:val="22"/>
              </w:rPr>
              <w:t>0.8</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06" w:type="dxa"/>
            <w:shd w:val="clear" w:color="auto" w:fill="auto"/>
            <w:noWrap/>
            <w:vAlign w:val="bottom"/>
            <w:hideMark/>
          </w:tcPr>
          <w:p w:rsidR="00635709" w:rsidRPr="006A6CE3" w:rsidRDefault="00635709" w:rsidP="00AA48B1">
            <w:pPr>
              <w:tabs>
                <w:tab w:val="left" w:pos="851"/>
              </w:tabs>
              <w:spacing w:before="0" w:after="0" w:line="240" w:lineRule="auto"/>
              <w:rPr>
                <w:rFonts w:cs="Arial"/>
                <w:color w:val="000000"/>
                <w:sz w:val="16"/>
                <w:szCs w:val="16"/>
                <w:lang w:eastAsia="en-GB"/>
              </w:rPr>
            </w:pPr>
            <w:r>
              <w:rPr>
                <w:rFonts w:ascii="Calibri" w:hAnsi="Calibri"/>
                <w:color w:val="000000"/>
                <w:sz w:val="22"/>
              </w:rPr>
              <w:t>0.7</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227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83"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1203"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635709" w:rsidRPr="006A6CE3" w:rsidTr="008F432F">
        <w:trPr>
          <w:trHeight w:val="219"/>
        </w:trPr>
        <w:tc>
          <w:tcPr>
            <w:tcW w:w="3865" w:type="dxa"/>
            <w:shd w:val="clear" w:color="auto" w:fill="FFFFFF"/>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Large Stationary Air Conditioning (Chillers)</w:t>
            </w:r>
          </w:p>
        </w:tc>
        <w:tc>
          <w:tcPr>
            <w:tcW w:w="928"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67"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50" w:type="dxa"/>
            <w:shd w:val="clear" w:color="auto" w:fill="auto"/>
            <w:noWrap/>
            <w:vAlign w:val="bottom"/>
            <w:hideMark/>
          </w:tcPr>
          <w:p w:rsidR="00635709" w:rsidRPr="006A6CE3" w:rsidRDefault="00635709" w:rsidP="00AA48B1">
            <w:pPr>
              <w:tabs>
                <w:tab w:val="left" w:pos="851"/>
              </w:tabs>
              <w:spacing w:before="0" w:after="0" w:line="240" w:lineRule="auto"/>
              <w:rPr>
                <w:rFonts w:cs="Arial"/>
                <w:color w:val="000000"/>
                <w:sz w:val="16"/>
                <w:szCs w:val="16"/>
                <w:lang w:eastAsia="en-GB"/>
              </w:rPr>
            </w:pPr>
            <w:r>
              <w:rPr>
                <w:rFonts w:ascii="Calibri" w:hAnsi="Calibri"/>
                <w:color w:val="000000"/>
                <w:sz w:val="22"/>
              </w:rPr>
              <w:t>0.8</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06" w:type="dxa"/>
            <w:shd w:val="clear" w:color="auto" w:fill="auto"/>
            <w:noWrap/>
            <w:vAlign w:val="bottom"/>
            <w:hideMark/>
          </w:tcPr>
          <w:p w:rsidR="00635709" w:rsidRPr="006A6CE3" w:rsidRDefault="00635709" w:rsidP="00AA48B1">
            <w:pPr>
              <w:tabs>
                <w:tab w:val="left" w:pos="851"/>
              </w:tabs>
              <w:spacing w:before="0" w:after="0" w:line="240" w:lineRule="auto"/>
              <w:rPr>
                <w:rFonts w:cs="Arial"/>
                <w:color w:val="000000"/>
                <w:sz w:val="16"/>
                <w:szCs w:val="16"/>
                <w:lang w:eastAsia="en-GB"/>
              </w:rPr>
            </w:pPr>
            <w:r>
              <w:rPr>
                <w:rFonts w:ascii="Calibri" w:hAnsi="Calibri"/>
                <w:color w:val="000000"/>
                <w:sz w:val="22"/>
              </w:rPr>
              <w:t>0.8</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227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83"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1203"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635709" w:rsidRPr="006A6CE3" w:rsidTr="008F432F">
        <w:trPr>
          <w:trHeight w:val="219"/>
        </w:trPr>
        <w:tc>
          <w:tcPr>
            <w:tcW w:w="3865" w:type="dxa"/>
            <w:shd w:val="clear" w:color="auto" w:fill="FFFFFF"/>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Heat Pumps</w:t>
            </w:r>
          </w:p>
        </w:tc>
        <w:tc>
          <w:tcPr>
            <w:tcW w:w="928"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67"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50" w:type="dxa"/>
            <w:shd w:val="clear" w:color="auto" w:fill="auto"/>
            <w:noWrap/>
            <w:vAlign w:val="bottom"/>
            <w:hideMark/>
          </w:tcPr>
          <w:p w:rsidR="00635709" w:rsidRPr="006A6CE3" w:rsidRDefault="00635709" w:rsidP="00AA48B1">
            <w:pPr>
              <w:tabs>
                <w:tab w:val="left" w:pos="851"/>
              </w:tabs>
              <w:spacing w:before="0" w:after="0" w:line="240" w:lineRule="auto"/>
              <w:rPr>
                <w:rFonts w:cs="Arial"/>
                <w:color w:val="000000"/>
                <w:sz w:val="16"/>
                <w:szCs w:val="16"/>
                <w:lang w:eastAsia="en-GB"/>
              </w:rPr>
            </w:pPr>
            <w:r>
              <w:rPr>
                <w:rFonts w:ascii="Calibri" w:hAnsi="Calibri"/>
                <w:color w:val="000000"/>
                <w:sz w:val="22"/>
              </w:rPr>
              <w:t>0.8</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06" w:type="dxa"/>
            <w:shd w:val="clear" w:color="auto" w:fill="auto"/>
            <w:noWrap/>
            <w:vAlign w:val="bottom"/>
            <w:hideMark/>
          </w:tcPr>
          <w:p w:rsidR="00635709" w:rsidRPr="006A6CE3" w:rsidRDefault="00635709" w:rsidP="00AA48B1">
            <w:pPr>
              <w:tabs>
                <w:tab w:val="left" w:pos="851"/>
              </w:tabs>
              <w:spacing w:before="0" w:after="0" w:line="240" w:lineRule="auto"/>
              <w:rPr>
                <w:rFonts w:cs="Arial"/>
                <w:color w:val="000000"/>
                <w:sz w:val="16"/>
                <w:szCs w:val="16"/>
                <w:lang w:eastAsia="en-GB"/>
              </w:rPr>
            </w:pPr>
            <w:r>
              <w:rPr>
                <w:rFonts w:ascii="Calibri" w:hAnsi="Calibri"/>
                <w:color w:val="000000"/>
                <w:sz w:val="22"/>
              </w:rPr>
              <w:t>0.66</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227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83"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1203"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635709" w:rsidRPr="006A6CE3" w:rsidTr="008F432F">
        <w:trPr>
          <w:trHeight w:val="219"/>
        </w:trPr>
        <w:tc>
          <w:tcPr>
            <w:tcW w:w="3865" w:type="dxa"/>
            <w:shd w:val="clear" w:color="auto" w:fill="FFFFFF"/>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Land Transport Refrigeration</w:t>
            </w:r>
          </w:p>
        </w:tc>
        <w:tc>
          <w:tcPr>
            <w:tcW w:w="928"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67"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50" w:type="dxa"/>
            <w:shd w:val="clear" w:color="auto" w:fill="auto"/>
            <w:noWrap/>
            <w:vAlign w:val="bottom"/>
            <w:hideMark/>
          </w:tcPr>
          <w:p w:rsidR="00635709" w:rsidRPr="006A6CE3" w:rsidRDefault="00635709" w:rsidP="00AA48B1">
            <w:pPr>
              <w:tabs>
                <w:tab w:val="left" w:pos="851"/>
              </w:tabs>
              <w:spacing w:before="0" w:after="0" w:line="240" w:lineRule="auto"/>
              <w:rPr>
                <w:rFonts w:cs="Arial"/>
                <w:color w:val="000000"/>
                <w:sz w:val="16"/>
                <w:szCs w:val="16"/>
                <w:lang w:eastAsia="en-GB"/>
              </w:rPr>
            </w:pPr>
            <w:r>
              <w:rPr>
                <w:rFonts w:ascii="Calibri" w:hAnsi="Calibri"/>
                <w:color w:val="000000"/>
                <w:sz w:val="22"/>
              </w:rPr>
              <w:t>0.5</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06" w:type="dxa"/>
            <w:shd w:val="clear" w:color="auto" w:fill="auto"/>
            <w:noWrap/>
            <w:vAlign w:val="bottom"/>
            <w:hideMark/>
          </w:tcPr>
          <w:p w:rsidR="00635709" w:rsidRPr="006A6CE3" w:rsidRDefault="00635709" w:rsidP="00AA48B1">
            <w:pPr>
              <w:tabs>
                <w:tab w:val="left" w:pos="851"/>
              </w:tabs>
              <w:spacing w:before="0" w:after="0" w:line="240" w:lineRule="auto"/>
              <w:rPr>
                <w:rFonts w:cs="Arial"/>
                <w:color w:val="000000"/>
                <w:sz w:val="16"/>
                <w:szCs w:val="16"/>
                <w:lang w:eastAsia="en-GB"/>
              </w:rPr>
            </w:pPr>
            <w:r>
              <w:rPr>
                <w:rFonts w:ascii="Calibri" w:hAnsi="Calibri"/>
                <w:color w:val="000000"/>
                <w:sz w:val="22"/>
              </w:rPr>
              <w:t>0.8</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227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83"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1203"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635709" w:rsidRPr="006A6CE3" w:rsidTr="008F432F">
        <w:trPr>
          <w:trHeight w:val="219"/>
        </w:trPr>
        <w:tc>
          <w:tcPr>
            <w:tcW w:w="3865" w:type="dxa"/>
            <w:shd w:val="clear" w:color="auto" w:fill="FFFFFF"/>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Marine Transport Refrigeration</w:t>
            </w:r>
          </w:p>
        </w:tc>
        <w:tc>
          <w:tcPr>
            <w:tcW w:w="928"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67"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50" w:type="dxa"/>
            <w:shd w:val="clear" w:color="auto" w:fill="auto"/>
            <w:noWrap/>
            <w:vAlign w:val="bottom"/>
            <w:hideMark/>
          </w:tcPr>
          <w:p w:rsidR="00635709" w:rsidRPr="006A6CE3" w:rsidRDefault="00635709" w:rsidP="00AA48B1">
            <w:pPr>
              <w:tabs>
                <w:tab w:val="left" w:pos="851"/>
              </w:tabs>
              <w:spacing w:before="0" w:after="0" w:line="240" w:lineRule="auto"/>
              <w:rPr>
                <w:rFonts w:cs="Arial"/>
                <w:color w:val="000000"/>
                <w:sz w:val="16"/>
                <w:szCs w:val="16"/>
                <w:lang w:eastAsia="en-GB"/>
              </w:rPr>
            </w:pPr>
            <w:r>
              <w:rPr>
                <w:rFonts w:ascii="Calibri" w:hAnsi="Calibri"/>
                <w:color w:val="000000"/>
                <w:sz w:val="22"/>
              </w:rPr>
              <w:t>0.5</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06" w:type="dxa"/>
            <w:shd w:val="clear" w:color="auto" w:fill="auto"/>
            <w:noWrap/>
            <w:vAlign w:val="bottom"/>
            <w:hideMark/>
          </w:tcPr>
          <w:p w:rsidR="00635709" w:rsidRPr="006A6CE3" w:rsidRDefault="00635709" w:rsidP="00AA48B1">
            <w:pPr>
              <w:tabs>
                <w:tab w:val="left" w:pos="851"/>
              </w:tabs>
              <w:spacing w:before="0" w:after="0" w:line="240" w:lineRule="auto"/>
              <w:rPr>
                <w:rFonts w:cs="Arial"/>
                <w:color w:val="000000"/>
                <w:sz w:val="16"/>
                <w:szCs w:val="16"/>
                <w:lang w:eastAsia="en-GB"/>
              </w:rPr>
            </w:pPr>
            <w:r>
              <w:rPr>
                <w:rFonts w:ascii="Calibri" w:hAnsi="Calibri"/>
                <w:color w:val="000000"/>
                <w:sz w:val="22"/>
              </w:rPr>
              <w:t>0.71</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227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83"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1203"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635709" w:rsidRPr="006A6CE3" w:rsidTr="008F432F">
        <w:trPr>
          <w:trHeight w:val="219"/>
        </w:trPr>
        <w:tc>
          <w:tcPr>
            <w:tcW w:w="3865" w:type="dxa"/>
            <w:shd w:val="clear" w:color="auto" w:fill="FFFFFF"/>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Light-Duty Mobile Air Conditioning</w:t>
            </w:r>
          </w:p>
        </w:tc>
        <w:tc>
          <w:tcPr>
            <w:tcW w:w="928"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67"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50" w:type="dxa"/>
            <w:shd w:val="clear" w:color="auto" w:fill="auto"/>
            <w:noWrap/>
            <w:vAlign w:val="bottom"/>
            <w:hideMark/>
          </w:tcPr>
          <w:p w:rsidR="00635709" w:rsidRPr="006A6CE3" w:rsidRDefault="00635709" w:rsidP="00AA48B1">
            <w:pPr>
              <w:tabs>
                <w:tab w:val="left" w:pos="851"/>
              </w:tabs>
              <w:spacing w:before="0" w:after="0" w:line="240" w:lineRule="auto"/>
              <w:rPr>
                <w:rFonts w:cs="Arial"/>
                <w:color w:val="000000"/>
                <w:sz w:val="16"/>
                <w:szCs w:val="16"/>
                <w:lang w:eastAsia="en-GB"/>
              </w:rPr>
            </w:pPr>
            <w:r>
              <w:rPr>
                <w:rFonts w:ascii="Calibri" w:hAnsi="Calibri"/>
                <w:color w:val="000000"/>
                <w:sz w:val="22"/>
              </w:rPr>
              <w:t>0.5</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06" w:type="dxa"/>
            <w:shd w:val="clear" w:color="auto" w:fill="auto"/>
            <w:noWrap/>
            <w:vAlign w:val="bottom"/>
            <w:hideMark/>
          </w:tcPr>
          <w:p w:rsidR="00635709" w:rsidRPr="006A6CE3" w:rsidRDefault="00635709" w:rsidP="00AA48B1">
            <w:pPr>
              <w:tabs>
                <w:tab w:val="left" w:pos="851"/>
              </w:tabs>
              <w:spacing w:before="0" w:after="0" w:line="240" w:lineRule="auto"/>
              <w:rPr>
                <w:rFonts w:cs="Arial"/>
                <w:color w:val="000000"/>
                <w:sz w:val="16"/>
                <w:szCs w:val="16"/>
                <w:lang w:eastAsia="en-GB"/>
              </w:rPr>
            </w:pPr>
            <w:r>
              <w:rPr>
                <w:rFonts w:ascii="Calibri" w:hAnsi="Calibri"/>
                <w:color w:val="000000"/>
                <w:sz w:val="22"/>
              </w:rPr>
              <w:t>0.7</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227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83"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1203"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635709" w:rsidRPr="006A6CE3" w:rsidTr="008F432F">
        <w:trPr>
          <w:trHeight w:val="219"/>
        </w:trPr>
        <w:tc>
          <w:tcPr>
            <w:tcW w:w="3865" w:type="dxa"/>
            <w:shd w:val="clear" w:color="auto" w:fill="FFFFFF"/>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Other Mobile Air Conditioning</w:t>
            </w:r>
          </w:p>
        </w:tc>
        <w:tc>
          <w:tcPr>
            <w:tcW w:w="928"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67"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50" w:type="dxa"/>
            <w:shd w:val="clear" w:color="auto" w:fill="auto"/>
            <w:noWrap/>
            <w:vAlign w:val="bottom"/>
            <w:hideMark/>
          </w:tcPr>
          <w:p w:rsidR="00635709" w:rsidRPr="006A6CE3" w:rsidRDefault="00635709" w:rsidP="00AA48B1">
            <w:pPr>
              <w:tabs>
                <w:tab w:val="left" w:pos="851"/>
              </w:tabs>
              <w:spacing w:before="0" w:after="0" w:line="240" w:lineRule="auto"/>
              <w:rPr>
                <w:rFonts w:cs="Arial"/>
                <w:color w:val="000000"/>
                <w:sz w:val="16"/>
                <w:szCs w:val="16"/>
                <w:lang w:eastAsia="en-GB"/>
              </w:rPr>
            </w:pPr>
            <w:r>
              <w:rPr>
                <w:rFonts w:ascii="Calibri" w:hAnsi="Calibri"/>
                <w:color w:val="000000"/>
                <w:sz w:val="22"/>
              </w:rPr>
              <w:t>0.5</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1206" w:type="dxa"/>
            <w:shd w:val="clear" w:color="auto" w:fill="auto"/>
            <w:noWrap/>
            <w:vAlign w:val="bottom"/>
            <w:hideMark/>
          </w:tcPr>
          <w:p w:rsidR="00635709" w:rsidRPr="006A6CE3" w:rsidRDefault="00635709" w:rsidP="00AA48B1">
            <w:pPr>
              <w:tabs>
                <w:tab w:val="left" w:pos="851"/>
              </w:tabs>
              <w:spacing w:before="0" w:after="0" w:line="240" w:lineRule="auto"/>
              <w:rPr>
                <w:rFonts w:cs="Arial"/>
                <w:color w:val="000000"/>
                <w:sz w:val="16"/>
                <w:szCs w:val="16"/>
                <w:lang w:eastAsia="en-GB"/>
              </w:rPr>
            </w:pPr>
            <w:r>
              <w:rPr>
                <w:rFonts w:ascii="Calibri" w:hAnsi="Calibri"/>
                <w:color w:val="000000"/>
                <w:sz w:val="22"/>
              </w:rPr>
              <w:t>0.7</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x</w:t>
            </w:r>
          </w:p>
        </w:tc>
        <w:tc>
          <w:tcPr>
            <w:tcW w:w="2276"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83"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w:t>
            </w:r>
          </w:p>
        </w:tc>
        <w:tc>
          <w:tcPr>
            <w:tcW w:w="1203" w:type="dxa"/>
            <w:shd w:val="clear" w:color="auto" w:fill="auto"/>
            <w:noWrap/>
            <w:hideMark/>
          </w:tcPr>
          <w:p w:rsidR="00635709" w:rsidRPr="006A6CE3" w:rsidRDefault="00635709"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r>
      <w:tr w:rsidR="00635709" w:rsidRPr="006A6CE3" w:rsidTr="00635709">
        <w:trPr>
          <w:trHeight w:val="219"/>
        </w:trPr>
        <w:tc>
          <w:tcPr>
            <w:tcW w:w="3865" w:type="dxa"/>
            <w:shd w:val="clear" w:color="auto" w:fill="FFFFFF"/>
            <w:hideMark/>
          </w:tcPr>
          <w:p w:rsidR="00635709" w:rsidRPr="006A6CE3" w:rsidRDefault="00635709"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Total</w:t>
            </w:r>
          </w:p>
        </w:tc>
        <w:tc>
          <w:tcPr>
            <w:tcW w:w="928" w:type="dxa"/>
            <w:shd w:val="clear" w:color="auto" w:fill="auto"/>
            <w:noWrap/>
            <w:hideMark/>
          </w:tcPr>
          <w:p w:rsidR="00635709" w:rsidRPr="006A6CE3" w:rsidRDefault="00635709"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1267" w:type="dxa"/>
            <w:shd w:val="clear" w:color="auto" w:fill="auto"/>
            <w:noWrap/>
            <w:hideMark/>
          </w:tcPr>
          <w:p w:rsidR="00635709" w:rsidRPr="006A6CE3" w:rsidRDefault="00635709"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1250" w:type="dxa"/>
            <w:shd w:val="clear" w:color="auto" w:fill="auto"/>
            <w:noWrap/>
            <w:hideMark/>
          </w:tcPr>
          <w:p w:rsidR="00635709" w:rsidRPr="006A6CE3" w:rsidRDefault="00635709"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1206" w:type="dxa"/>
            <w:shd w:val="clear" w:color="auto" w:fill="auto"/>
            <w:noWrap/>
            <w:hideMark/>
          </w:tcPr>
          <w:p w:rsidR="00635709" w:rsidRPr="006A6CE3" w:rsidRDefault="00635709"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316" w:type="dxa"/>
            <w:shd w:val="clear" w:color="auto" w:fill="auto"/>
            <w:noWrap/>
            <w:hideMark/>
          </w:tcPr>
          <w:p w:rsidR="00635709" w:rsidRPr="006A6CE3" w:rsidRDefault="00635709"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2276" w:type="dxa"/>
            <w:shd w:val="clear" w:color="auto" w:fill="auto"/>
            <w:noWrap/>
            <w:hideMark/>
          </w:tcPr>
          <w:p w:rsidR="00635709" w:rsidRPr="006A6CE3" w:rsidRDefault="00635709"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383" w:type="dxa"/>
            <w:shd w:val="clear" w:color="auto" w:fill="auto"/>
            <w:noWrap/>
            <w:hideMark/>
          </w:tcPr>
          <w:p w:rsidR="00635709" w:rsidRPr="006A6CE3" w:rsidRDefault="00635709"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1203" w:type="dxa"/>
            <w:shd w:val="clear" w:color="auto" w:fill="auto"/>
            <w:noWrap/>
            <w:hideMark/>
          </w:tcPr>
          <w:p w:rsidR="00635709" w:rsidRPr="006A6CE3" w:rsidRDefault="00635709"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r>
    </w:tbl>
    <w:p w:rsidR="00913351" w:rsidRPr="006A6CE3" w:rsidRDefault="00913351" w:rsidP="0086258B">
      <w:pPr>
        <w:numPr>
          <w:ilvl w:val="0"/>
          <w:numId w:val="24"/>
        </w:numPr>
        <w:tabs>
          <w:tab w:val="left" w:pos="851"/>
        </w:tabs>
        <w:spacing w:before="200" w:after="200"/>
        <w:rPr>
          <w:rFonts w:cs="Arial"/>
          <w:b/>
        </w:rPr>
      </w:pPr>
      <w:r w:rsidRPr="006A6CE3">
        <w:rPr>
          <w:rFonts w:cs="Arial"/>
          <w:b/>
        </w:rPr>
        <w:t>Calculate total emissions</w:t>
      </w:r>
    </w:p>
    <w:p w:rsidR="00913351" w:rsidRPr="006A6CE3" w:rsidRDefault="00913351" w:rsidP="00E204D9">
      <w:pPr>
        <w:tabs>
          <w:tab w:val="left" w:pos="851"/>
        </w:tabs>
        <w:rPr>
          <w:rFonts w:cs="Arial"/>
        </w:rPr>
      </w:pPr>
      <w:r w:rsidRPr="006A6CE3">
        <w:rPr>
          <w:rFonts w:cs="Arial"/>
        </w:rPr>
        <w:t xml:space="preserve">Add the emissions from each piece of equipment for each of emission - installation, operation and disposal - to get total emissions. Calculate separate totals for each type of refrigerant used. </w:t>
      </w:r>
    </w:p>
    <w:p w:rsidR="00913351" w:rsidRPr="006A6CE3" w:rsidRDefault="00913351" w:rsidP="00E204D9">
      <w:pPr>
        <w:tabs>
          <w:tab w:val="left" w:pos="851"/>
        </w:tabs>
        <w:rPr>
          <w:rFonts w:cs="Arial"/>
        </w:rPr>
        <w:sectPr w:rsidR="00913351" w:rsidRPr="006A6CE3" w:rsidSect="00913351">
          <w:pgSz w:w="16838" w:h="11906" w:orient="landscape" w:code="9"/>
          <w:pgMar w:top="1797" w:right="1440" w:bottom="1797" w:left="284" w:header="709" w:footer="709" w:gutter="0"/>
          <w:pgBorders w:offsetFrom="page">
            <w:top w:val="single" w:sz="4" w:space="24" w:color="auto"/>
          </w:pgBorders>
          <w:cols w:space="708"/>
          <w:docGrid w:linePitch="360"/>
        </w:sectPr>
      </w:pPr>
    </w:p>
    <w:p w:rsidR="00913351" w:rsidRPr="006A6CE3" w:rsidRDefault="00913351" w:rsidP="00E204D9">
      <w:pPr>
        <w:pStyle w:val="Heading4"/>
        <w:tabs>
          <w:tab w:val="left" w:pos="851"/>
        </w:tabs>
        <w:rPr>
          <w:rFonts w:cs="Arial"/>
          <w:i w:val="0"/>
          <w:color w:val="76923C"/>
          <w:sz w:val="28"/>
          <w:szCs w:val="28"/>
        </w:rPr>
      </w:pPr>
      <w:r w:rsidRPr="006A6CE3">
        <w:rPr>
          <w:rFonts w:cs="Arial"/>
          <w:i w:val="0"/>
          <w:color w:val="76923C"/>
          <w:sz w:val="28"/>
          <w:szCs w:val="28"/>
        </w:rPr>
        <w:lastRenderedPageBreak/>
        <w:t>Simplified Material Balance Method</w:t>
      </w:r>
    </w:p>
    <w:p w:rsidR="00913351" w:rsidRPr="006A6CE3" w:rsidRDefault="00913351" w:rsidP="00E204D9">
      <w:pPr>
        <w:tabs>
          <w:tab w:val="left" w:pos="851"/>
        </w:tabs>
        <w:rPr>
          <w:rFonts w:cs="Arial"/>
        </w:rPr>
      </w:pPr>
      <w:r w:rsidRPr="006A6CE3">
        <w:rPr>
          <w:rFonts w:cs="Arial"/>
        </w:rPr>
        <w:t xml:space="preserve">This will enable more accurate estimation of refrigerant leakage than the previous method because it requires you to record the quantities of refrigerants that you have used rather than relying on default factors. </w:t>
      </w:r>
    </w:p>
    <w:p w:rsidR="00913351" w:rsidRPr="006A6CE3" w:rsidRDefault="00913351" w:rsidP="0086258B">
      <w:pPr>
        <w:numPr>
          <w:ilvl w:val="0"/>
          <w:numId w:val="25"/>
        </w:numPr>
        <w:tabs>
          <w:tab w:val="left" w:pos="851"/>
        </w:tabs>
        <w:spacing w:before="200" w:after="200"/>
        <w:rPr>
          <w:rFonts w:cs="Arial"/>
        </w:rPr>
      </w:pPr>
      <w:r w:rsidRPr="006A6CE3">
        <w:rPr>
          <w:rFonts w:cs="Arial"/>
          <w:b/>
        </w:rPr>
        <w:t>Calculate installation emissions</w:t>
      </w:r>
    </w:p>
    <w:p w:rsidR="00913351" w:rsidRPr="006A6CE3" w:rsidRDefault="00913351" w:rsidP="00E204D9">
      <w:pPr>
        <w:tabs>
          <w:tab w:val="left" w:pos="851"/>
        </w:tabs>
        <w:ind w:left="720"/>
        <w:rPr>
          <w:rFonts w:cs="Arial"/>
        </w:rPr>
      </w:pPr>
      <w:r w:rsidRPr="006A6CE3">
        <w:rPr>
          <w:rFonts w:cs="Arial"/>
        </w:rPr>
        <w:t>This step is only necessary if your organisation installed any new equipment during the reporting period that was not pre-charged by the equipment supplier. Emissions are calculated by taking the difference between the amount of refrigerant used to charge the equipment and the total capacity of the equipment. The difference is assumed to be released into the environment.</w:t>
      </w:r>
    </w:p>
    <w:p w:rsidR="00913351" w:rsidRPr="006A6CE3" w:rsidRDefault="00913351" w:rsidP="0086258B">
      <w:pPr>
        <w:numPr>
          <w:ilvl w:val="0"/>
          <w:numId w:val="25"/>
        </w:numPr>
        <w:tabs>
          <w:tab w:val="left" w:pos="851"/>
        </w:tabs>
        <w:spacing w:before="200" w:after="200"/>
        <w:rPr>
          <w:rFonts w:cs="Arial"/>
        </w:rPr>
      </w:pPr>
      <w:r w:rsidRPr="006A6CE3">
        <w:rPr>
          <w:rFonts w:cs="Arial"/>
          <w:b/>
        </w:rPr>
        <w:t>Determine equipment servicing emissions</w:t>
      </w:r>
    </w:p>
    <w:p w:rsidR="00913351" w:rsidRPr="006A6CE3" w:rsidRDefault="00913351" w:rsidP="00E204D9">
      <w:pPr>
        <w:tabs>
          <w:tab w:val="left" w:pos="851"/>
        </w:tabs>
        <w:ind w:left="720"/>
        <w:rPr>
          <w:rFonts w:cs="Arial"/>
        </w:rPr>
      </w:pPr>
      <w:r w:rsidRPr="006A6CE3">
        <w:rPr>
          <w:rFonts w:cs="Arial"/>
        </w:rPr>
        <w:t>Equipment servicing emissions result from the refrigerant that is used to service operating equipment. It is assumed that the servicing refrigerant is replacing the same amount that was lost to the environment.</w:t>
      </w:r>
    </w:p>
    <w:p w:rsidR="00913351" w:rsidRPr="006A6CE3" w:rsidRDefault="00913351" w:rsidP="0086258B">
      <w:pPr>
        <w:numPr>
          <w:ilvl w:val="0"/>
          <w:numId w:val="25"/>
        </w:numPr>
        <w:tabs>
          <w:tab w:val="left" w:pos="851"/>
        </w:tabs>
        <w:spacing w:before="200" w:after="200"/>
        <w:rPr>
          <w:rFonts w:cs="Arial"/>
        </w:rPr>
      </w:pPr>
      <w:r w:rsidRPr="006A6CE3">
        <w:rPr>
          <w:rFonts w:cs="Arial"/>
          <w:b/>
        </w:rPr>
        <w:t>Calculate disposal emissions</w:t>
      </w:r>
    </w:p>
    <w:p w:rsidR="00913351" w:rsidRPr="006A6CE3" w:rsidRDefault="00913351" w:rsidP="00E204D9">
      <w:pPr>
        <w:tabs>
          <w:tab w:val="left" w:pos="851"/>
        </w:tabs>
        <w:ind w:left="720"/>
        <w:rPr>
          <w:rFonts w:cs="Arial"/>
        </w:rPr>
      </w:pPr>
      <w:r w:rsidRPr="006A6CE3">
        <w:rPr>
          <w:rFonts w:cs="Arial"/>
        </w:rPr>
        <w:t>This step is only necessary if your organisation disposed of equipment during the reporting period. Emissions are calculated by taking the difference between the total capacity of the equipment disposed and the amount of refrigerant recovered. The difference is assumed to be released to the environment.</w:t>
      </w:r>
    </w:p>
    <w:p w:rsidR="00913351" w:rsidRPr="006A6CE3" w:rsidRDefault="00913351" w:rsidP="0086258B">
      <w:pPr>
        <w:numPr>
          <w:ilvl w:val="0"/>
          <w:numId w:val="25"/>
        </w:numPr>
        <w:tabs>
          <w:tab w:val="left" w:pos="851"/>
        </w:tabs>
        <w:spacing w:before="200" w:after="200"/>
        <w:rPr>
          <w:rFonts w:cs="Arial"/>
        </w:rPr>
      </w:pPr>
      <w:r w:rsidRPr="006A6CE3">
        <w:rPr>
          <w:rFonts w:cs="Arial"/>
          <w:b/>
        </w:rPr>
        <w:t>Calculate emissions</w:t>
      </w:r>
    </w:p>
    <w:p w:rsidR="00913351" w:rsidRPr="006A6CE3" w:rsidDel="00B46DC4" w:rsidRDefault="00913351" w:rsidP="00E204D9">
      <w:pPr>
        <w:tabs>
          <w:tab w:val="left" w:pos="851"/>
        </w:tabs>
        <w:ind w:left="720"/>
        <w:rPr>
          <w:rFonts w:cs="Arial"/>
        </w:rPr>
      </w:pPr>
      <w:r w:rsidRPr="006A6CE3">
        <w:rPr>
          <w:rFonts w:cs="Arial"/>
        </w:rPr>
        <w:t>Emissions are calculated by summing the results of the first three steps. This approach should be used for each type of refrigerant and blend. Bear in mind that some equipment may be modified to use a different type of refrigerant. In these cases, treat it as though the equipment has been retired and then installed using a new type of refrigerant.</w:t>
      </w:r>
    </w:p>
    <w:p w:rsidR="00913351" w:rsidRPr="006A6CE3" w:rsidRDefault="00913351" w:rsidP="00E204D9">
      <w:pPr>
        <w:tabs>
          <w:tab w:val="left" w:pos="851"/>
        </w:tabs>
        <w:ind w:left="720"/>
        <w:rPr>
          <w:rFonts w:cs="Arial"/>
        </w:rPr>
        <w:sectPr w:rsidR="00913351" w:rsidRPr="006A6CE3" w:rsidSect="00913351">
          <w:pgSz w:w="11906" w:h="16838" w:code="9"/>
          <w:pgMar w:top="1440" w:right="1797" w:bottom="284" w:left="1797" w:header="709" w:footer="709" w:gutter="0"/>
          <w:pgBorders w:offsetFrom="page">
            <w:top w:val="single" w:sz="4" w:space="24" w:color="auto"/>
          </w:pgBorders>
          <w:cols w:space="708"/>
          <w:docGrid w:linePitch="360"/>
        </w:sectPr>
      </w:pPr>
    </w:p>
    <w:tbl>
      <w:tblPr>
        <w:tblW w:w="15085" w:type="dxa"/>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ayout w:type="fixed"/>
        <w:tblLook w:val="04A0" w:firstRow="1" w:lastRow="0" w:firstColumn="1" w:lastColumn="0" w:noHBand="0" w:noVBand="1"/>
      </w:tblPr>
      <w:tblGrid>
        <w:gridCol w:w="1372"/>
        <w:gridCol w:w="1119"/>
        <w:gridCol w:w="250"/>
        <w:gridCol w:w="1451"/>
        <w:gridCol w:w="165"/>
        <w:gridCol w:w="74"/>
        <w:gridCol w:w="239"/>
        <w:gridCol w:w="61"/>
        <w:gridCol w:w="178"/>
        <w:gridCol w:w="239"/>
        <w:gridCol w:w="1324"/>
        <w:gridCol w:w="250"/>
        <w:gridCol w:w="1616"/>
        <w:gridCol w:w="249"/>
        <w:gridCol w:w="1616"/>
        <w:gridCol w:w="374"/>
        <w:gridCol w:w="1368"/>
        <w:gridCol w:w="686"/>
        <w:gridCol w:w="239"/>
        <w:gridCol w:w="195"/>
        <w:gridCol w:w="44"/>
        <w:gridCol w:w="239"/>
        <w:gridCol w:w="104"/>
        <w:gridCol w:w="132"/>
        <w:gridCol w:w="1191"/>
        <w:gridCol w:w="310"/>
      </w:tblGrid>
      <w:tr w:rsidR="00C64465" w:rsidRPr="006A6CE3" w:rsidTr="00AA48B1">
        <w:trPr>
          <w:trHeight w:val="238"/>
        </w:trPr>
        <w:tc>
          <w:tcPr>
            <w:tcW w:w="4192" w:type="dxa"/>
            <w:gridSpan w:val="4"/>
            <w:shd w:val="clear" w:color="auto" w:fill="878800"/>
            <w:noWrap/>
            <w:hideMark/>
          </w:tcPr>
          <w:p w:rsidR="00913351" w:rsidRPr="006A6CE3" w:rsidRDefault="00913351" w:rsidP="00AA48B1">
            <w:pPr>
              <w:tabs>
                <w:tab w:val="left" w:pos="851"/>
              </w:tabs>
              <w:spacing w:before="0" w:after="0" w:line="240" w:lineRule="auto"/>
              <w:rPr>
                <w:rFonts w:cs="Arial"/>
                <w:b/>
                <w:bCs/>
                <w:color w:val="FFFFFF"/>
                <w:sz w:val="20"/>
                <w:lang w:eastAsia="en-GB"/>
              </w:rPr>
            </w:pPr>
            <w:r w:rsidRPr="006A6CE3">
              <w:rPr>
                <w:rFonts w:cs="Arial"/>
                <w:b/>
                <w:bCs/>
                <w:color w:val="FFFFFF"/>
                <w:sz w:val="20"/>
                <w:lang w:eastAsia="en-GB"/>
              </w:rPr>
              <w:lastRenderedPageBreak/>
              <w:t>Estimating Refrigerant Emissions with Simplified Material Balance Method</w:t>
            </w:r>
          </w:p>
        </w:tc>
        <w:tc>
          <w:tcPr>
            <w:tcW w:w="239" w:type="dxa"/>
            <w:gridSpan w:val="2"/>
            <w:shd w:val="clear" w:color="auto" w:fill="878800"/>
            <w:noWrap/>
            <w:hideMark/>
          </w:tcPr>
          <w:p w:rsidR="00913351" w:rsidRPr="006A6CE3" w:rsidRDefault="00913351" w:rsidP="00AA48B1">
            <w:pPr>
              <w:tabs>
                <w:tab w:val="left" w:pos="851"/>
              </w:tabs>
              <w:spacing w:before="0" w:after="0" w:line="240" w:lineRule="auto"/>
              <w:rPr>
                <w:rFonts w:cs="Arial"/>
                <w:b/>
                <w:bCs/>
                <w:color w:val="FFFFFF"/>
                <w:sz w:val="20"/>
                <w:lang w:eastAsia="en-GB"/>
              </w:rPr>
            </w:pPr>
            <w:r w:rsidRPr="006A6CE3">
              <w:rPr>
                <w:rFonts w:cs="Arial"/>
                <w:b/>
                <w:bCs/>
                <w:color w:val="FFFFFF"/>
                <w:sz w:val="20"/>
                <w:lang w:eastAsia="en-GB"/>
              </w:rPr>
              <w:t> </w:t>
            </w:r>
          </w:p>
        </w:tc>
        <w:tc>
          <w:tcPr>
            <w:tcW w:w="239" w:type="dxa"/>
            <w:shd w:val="clear" w:color="auto" w:fill="878800"/>
            <w:noWrap/>
            <w:hideMark/>
          </w:tcPr>
          <w:p w:rsidR="00913351" w:rsidRPr="006A6CE3" w:rsidRDefault="00913351" w:rsidP="00AA48B1">
            <w:pPr>
              <w:tabs>
                <w:tab w:val="left" w:pos="851"/>
              </w:tabs>
              <w:spacing w:before="0" w:after="0" w:line="240" w:lineRule="auto"/>
              <w:rPr>
                <w:rFonts w:cs="Arial"/>
                <w:color w:val="FFFFFF"/>
                <w:sz w:val="20"/>
                <w:lang w:eastAsia="en-GB"/>
              </w:rPr>
            </w:pPr>
            <w:r w:rsidRPr="006A6CE3">
              <w:rPr>
                <w:rFonts w:cs="Arial"/>
                <w:color w:val="FFFFFF"/>
                <w:sz w:val="20"/>
                <w:lang w:eastAsia="en-GB"/>
              </w:rPr>
              <w:t> </w:t>
            </w:r>
          </w:p>
        </w:tc>
        <w:tc>
          <w:tcPr>
            <w:tcW w:w="239" w:type="dxa"/>
            <w:gridSpan w:val="2"/>
            <w:shd w:val="clear" w:color="auto" w:fill="878800"/>
            <w:noWrap/>
            <w:hideMark/>
          </w:tcPr>
          <w:p w:rsidR="00913351" w:rsidRPr="006A6CE3" w:rsidRDefault="00913351" w:rsidP="00AA48B1">
            <w:pPr>
              <w:tabs>
                <w:tab w:val="left" w:pos="851"/>
              </w:tabs>
              <w:spacing w:before="0" w:after="0" w:line="240" w:lineRule="auto"/>
              <w:rPr>
                <w:rFonts w:cs="Arial"/>
                <w:color w:val="FFFFFF"/>
                <w:sz w:val="20"/>
                <w:lang w:eastAsia="en-GB"/>
              </w:rPr>
            </w:pPr>
            <w:r w:rsidRPr="006A6CE3">
              <w:rPr>
                <w:rFonts w:cs="Arial"/>
                <w:color w:val="FFFFFF"/>
                <w:sz w:val="20"/>
                <w:lang w:eastAsia="en-GB"/>
              </w:rPr>
              <w:t> </w:t>
            </w:r>
          </w:p>
        </w:tc>
        <w:tc>
          <w:tcPr>
            <w:tcW w:w="239" w:type="dxa"/>
            <w:shd w:val="clear" w:color="auto" w:fill="878800"/>
            <w:noWrap/>
            <w:hideMark/>
          </w:tcPr>
          <w:p w:rsidR="00913351" w:rsidRPr="006A6CE3" w:rsidRDefault="00913351" w:rsidP="00AA48B1">
            <w:pPr>
              <w:tabs>
                <w:tab w:val="left" w:pos="851"/>
              </w:tabs>
              <w:spacing w:before="0" w:after="0" w:line="240" w:lineRule="auto"/>
              <w:rPr>
                <w:rFonts w:cs="Arial"/>
                <w:color w:val="FFFFFF"/>
                <w:sz w:val="20"/>
                <w:lang w:eastAsia="en-GB"/>
              </w:rPr>
            </w:pPr>
            <w:r w:rsidRPr="006A6CE3">
              <w:rPr>
                <w:rFonts w:cs="Arial"/>
                <w:color w:val="FFFFFF"/>
                <w:sz w:val="20"/>
                <w:lang w:eastAsia="en-GB"/>
              </w:rPr>
              <w:t> </w:t>
            </w:r>
          </w:p>
        </w:tc>
        <w:tc>
          <w:tcPr>
            <w:tcW w:w="1324" w:type="dxa"/>
            <w:shd w:val="clear" w:color="auto" w:fill="878800"/>
            <w:noWrap/>
            <w:hideMark/>
          </w:tcPr>
          <w:p w:rsidR="00913351" w:rsidRPr="006A6CE3" w:rsidRDefault="00913351" w:rsidP="00AA48B1">
            <w:pPr>
              <w:tabs>
                <w:tab w:val="left" w:pos="851"/>
              </w:tabs>
              <w:spacing w:before="0" w:after="0" w:line="240" w:lineRule="auto"/>
              <w:rPr>
                <w:rFonts w:cs="Arial"/>
                <w:color w:val="FFFFFF"/>
                <w:sz w:val="20"/>
                <w:lang w:eastAsia="en-GB"/>
              </w:rPr>
            </w:pPr>
            <w:r w:rsidRPr="006A6CE3">
              <w:rPr>
                <w:rFonts w:cs="Arial"/>
                <w:color w:val="FFFFFF"/>
                <w:sz w:val="20"/>
                <w:lang w:eastAsia="en-GB"/>
              </w:rPr>
              <w:t> </w:t>
            </w:r>
          </w:p>
        </w:tc>
        <w:tc>
          <w:tcPr>
            <w:tcW w:w="250" w:type="dxa"/>
            <w:shd w:val="clear" w:color="auto" w:fill="878800"/>
            <w:noWrap/>
            <w:hideMark/>
          </w:tcPr>
          <w:p w:rsidR="00913351" w:rsidRPr="006A6CE3" w:rsidRDefault="00913351" w:rsidP="00AA48B1">
            <w:pPr>
              <w:tabs>
                <w:tab w:val="left" w:pos="851"/>
              </w:tabs>
              <w:spacing w:before="0" w:after="0" w:line="240" w:lineRule="auto"/>
              <w:rPr>
                <w:rFonts w:cs="Arial"/>
                <w:color w:val="FFFFFF"/>
                <w:sz w:val="20"/>
                <w:lang w:eastAsia="en-GB"/>
              </w:rPr>
            </w:pPr>
            <w:r w:rsidRPr="006A6CE3">
              <w:rPr>
                <w:rFonts w:cs="Arial"/>
                <w:color w:val="FFFFFF"/>
                <w:sz w:val="20"/>
                <w:lang w:eastAsia="en-GB"/>
              </w:rPr>
              <w:t> </w:t>
            </w:r>
          </w:p>
        </w:tc>
        <w:tc>
          <w:tcPr>
            <w:tcW w:w="1616" w:type="dxa"/>
            <w:shd w:val="clear" w:color="auto" w:fill="878800"/>
            <w:noWrap/>
            <w:hideMark/>
          </w:tcPr>
          <w:p w:rsidR="00913351" w:rsidRPr="006A6CE3" w:rsidRDefault="00913351" w:rsidP="00AA48B1">
            <w:pPr>
              <w:tabs>
                <w:tab w:val="left" w:pos="851"/>
              </w:tabs>
              <w:spacing w:before="0" w:after="0" w:line="240" w:lineRule="auto"/>
              <w:rPr>
                <w:rFonts w:cs="Arial"/>
                <w:color w:val="FFFFFF"/>
                <w:sz w:val="20"/>
                <w:lang w:eastAsia="en-GB"/>
              </w:rPr>
            </w:pPr>
            <w:r w:rsidRPr="006A6CE3">
              <w:rPr>
                <w:rFonts w:cs="Arial"/>
                <w:color w:val="FFFFFF"/>
                <w:sz w:val="20"/>
                <w:lang w:eastAsia="en-GB"/>
              </w:rPr>
              <w:t> </w:t>
            </w:r>
          </w:p>
        </w:tc>
        <w:tc>
          <w:tcPr>
            <w:tcW w:w="249" w:type="dxa"/>
            <w:shd w:val="clear" w:color="auto" w:fill="878800"/>
            <w:noWrap/>
            <w:hideMark/>
          </w:tcPr>
          <w:p w:rsidR="00913351" w:rsidRPr="006A6CE3" w:rsidRDefault="00913351" w:rsidP="00AA48B1">
            <w:pPr>
              <w:tabs>
                <w:tab w:val="left" w:pos="851"/>
              </w:tabs>
              <w:spacing w:before="0" w:after="0" w:line="240" w:lineRule="auto"/>
              <w:rPr>
                <w:rFonts w:cs="Arial"/>
                <w:color w:val="FFFFFF"/>
                <w:sz w:val="20"/>
                <w:lang w:eastAsia="en-GB"/>
              </w:rPr>
            </w:pPr>
            <w:r w:rsidRPr="006A6CE3">
              <w:rPr>
                <w:rFonts w:cs="Arial"/>
                <w:color w:val="FFFFFF"/>
                <w:sz w:val="20"/>
                <w:lang w:eastAsia="en-GB"/>
              </w:rPr>
              <w:t> </w:t>
            </w:r>
          </w:p>
        </w:tc>
        <w:tc>
          <w:tcPr>
            <w:tcW w:w="4044" w:type="dxa"/>
            <w:gridSpan w:val="4"/>
            <w:shd w:val="clear" w:color="auto" w:fill="878800"/>
            <w:noWrap/>
            <w:hideMark/>
          </w:tcPr>
          <w:p w:rsidR="00913351" w:rsidRPr="006A6CE3" w:rsidRDefault="00913351" w:rsidP="00AA48B1">
            <w:pPr>
              <w:tabs>
                <w:tab w:val="left" w:pos="851"/>
              </w:tabs>
              <w:spacing w:before="0" w:after="0" w:line="240" w:lineRule="auto"/>
              <w:rPr>
                <w:rFonts w:cs="Arial"/>
                <w:color w:val="FFFFFF"/>
                <w:sz w:val="20"/>
                <w:lang w:eastAsia="en-GB"/>
              </w:rPr>
            </w:pPr>
            <w:r w:rsidRPr="006A6CE3">
              <w:rPr>
                <w:rFonts w:cs="Arial"/>
                <w:color w:val="FFFFFF"/>
                <w:sz w:val="20"/>
                <w:lang w:eastAsia="en-GB"/>
              </w:rPr>
              <w:t> </w:t>
            </w:r>
          </w:p>
        </w:tc>
        <w:tc>
          <w:tcPr>
            <w:tcW w:w="239" w:type="dxa"/>
            <w:shd w:val="clear" w:color="auto" w:fill="878800"/>
            <w:noWrap/>
            <w:hideMark/>
          </w:tcPr>
          <w:p w:rsidR="00913351" w:rsidRPr="006A6CE3" w:rsidRDefault="00913351" w:rsidP="00AA48B1">
            <w:pPr>
              <w:tabs>
                <w:tab w:val="left" w:pos="851"/>
              </w:tabs>
              <w:spacing w:before="0" w:after="0" w:line="240" w:lineRule="auto"/>
              <w:rPr>
                <w:rFonts w:cs="Arial"/>
                <w:color w:val="FFFFFF"/>
                <w:sz w:val="20"/>
                <w:lang w:eastAsia="en-GB"/>
              </w:rPr>
            </w:pPr>
            <w:r w:rsidRPr="006A6CE3">
              <w:rPr>
                <w:rFonts w:cs="Arial"/>
                <w:color w:val="FFFFFF"/>
                <w:sz w:val="20"/>
                <w:lang w:eastAsia="en-GB"/>
              </w:rPr>
              <w:t> </w:t>
            </w:r>
          </w:p>
        </w:tc>
        <w:tc>
          <w:tcPr>
            <w:tcW w:w="239" w:type="dxa"/>
            <w:gridSpan w:val="2"/>
            <w:shd w:val="clear" w:color="auto" w:fill="878800"/>
            <w:noWrap/>
            <w:hideMark/>
          </w:tcPr>
          <w:p w:rsidR="00913351" w:rsidRPr="006A6CE3" w:rsidRDefault="00913351" w:rsidP="00AA48B1">
            <w:pPr>
              <w:tabs>
                <w:tab w:val="left" w:pos="851"/>
              </w:tabs>
              <w:spacing w:before="0" w:after="0" w:line="240" w:lineRule="auto"/>
              <w:rPr>
                <w:rFonts w:cs="Arial"/>
                <w:color w:val="FFFFFF"/>
                <w:sz w:val="20"/>
                <w:lang w:eastAsia="en-GB"/>
              </w:rPr>
            </w:pPr>
            <w:r w:rsidRPr="006A6CE3">
              <w:rPr>
                <w:rFonts w:cs="Arial"/>
                <w:color w:val="FFFFFF"/>
                <w:sz w:val="20"/>
                <w:lang w:eastAsia="en-GB"/>
              </w:rPr>
              <w:t> </w:t>
            </w:r>
          </w:p>
        </w:tc>
        <w:tc>
          <w:tcPr>
            <w:tcW w:w="239" w:type="dxa"/>
            <w:shd w:val="clear" w:color="auto" w:fill="878800"/>
            <w:noWrap/>
            <w:hideMark/>
          </w:tcPr>
          <w:p w:rsidR="00913351" w:rsidRPr="006A6CE3" w:rsidRDefault="00913351" w:rsidP="00AA48B1">
            <w:pPr>
              <w:tabs>
                <w:tab w:val="left" w:pos="851"/>
              </w:tabs>
              <w:spacing w:before="0" w:after="0" w:line="240" w:lineRule="auto"/>
              <w:rPr>
                <w:rFonts w:cs="Arial"/>
                <w:color w:val="FFFFFF"/>
                <w:sz w:val="20"/>
                <w:lang w:eastAsia="en-GB"/>
              </w:rPr>
            </w:pPr>
            <w:r w:rsidRPr="006A6CE3">
              <w:rPr>
                <w:rFonts w:cs="Arial"/>
                <w:color w:val="FFFFFF"/>
                <w:sz w:val="20"/>
                <w:lang w:eastAsia="en-GB"/>
              </w:rPr>
              <w:t> </w:t>
            </w:r>
          </w:p>
        </w:tc>
        <w:tc>
          <w:tcPr>
            <w:tcW w:w="236" w:type="dxa"/>
            <w:gridSpan w:val="2"/>
            <w:shd w:val="clear" w:color="auto" w:fill="878800"/>
            <w:noWrap/>
            <w:hideMark/>
          </w:tcPr>
          <w:p w:rsidR="00913351" w:rsidRPr="006A6CE3" w:rsidRDefault="00913351" w:rsidP="00AA48B1">
            <w:pPr>
              <w:tabs>
                <w:tab w:val="left" w:pos="851"/>
              </w:tabs>
              <w:spacing w:before="0" w:after="0" w:line="240" w:lineRule="auto"/>
              <w:rPr>
                <w:rFonts w:cs="Arial"/>
                <w:color w:val="FFFFFF"/>
                <w:sz w:val="20"/>
                <w:lang w:eastAsia="en-GB"/>
              </w:rPr>
            </w:pPr>
            <w:r w:rsidRPr="006A6CE3">
              <w:rPr>
                <w:rFonts w:cs="Arial"/>
                <w:color w:val="FFFFFF"/>
                <w:sz w:val="20"/>
                <w:lang w:eastAsia="en-GB"/>
              </w:rPr>
              <w:t> </w:t>
            </w:r>
          </w:p>
        </w:tc>
        <w:tc>
          <w:tcPr>
            <w:tcW w:w="1191" w:type="dxa"/>
            <w:shd w:val="clear" w:color="auto" w:fill="878800"/>
            <w:noWrap/>
            <w:hideMark/>
          </w:tcPr>
          <w:p w:rsidR="00913351" w:rsidRPr="006A6CE3" w:rsidRDefault="00913351" w:rsidP="00AA48B1">
            <w:pPr>
              <w:tabs>
                <w:tab w:val="left" w:pos="851"/>
              </w:tabs>
              <w:spacing w:before="0" w:after="0" w:line="240" w:lineRule="auto"/>
              <w:rPr>
                <w:rFonts w:cs="Arial"/>
                <w:color w:val="FFFFFF"/>
                <w:sz w:val="20"/>
                <w:lang w:eastAsia="en-GB"/>
              </w:rPr>
            </w:pPr>
            <w:r w:rsidRPr="006A6CE3">
              <w:rPr>
                <w:rFonts w:cs="Arial"/>
                <w:color w:val="FFFFFF"/>
                <w:sz w:val="20"/>
                <w:lang w:eastAsia="en-GB"/>
              </w:rPr>
              <w:t> </w:t>
            </w:r>
          </w:p>
        </w:tc>
        <w:tc>
          <w:tcPr>
            <w:tcW w:w="310" w:type="dxa"/>
            <w:shd w:val="clear" w:color="auto" w:fill="878800"/>
            <w:noWrap/>
            <w:hideMark/>
          </w:tcPr>
          <w:p w:rsidR="00913351" w:rsidRPr="006A6CE3" w:rsidRDefault="00913351" w:rsidP="00AA48B1">
            <w:pPr>
              <w:tabs>
                <w:tab w:val="left" w:pos="851"/>
              </w:tabs>
              <w:spacing w:before="0" w:after="0" w:line="240" w:lineRule="auto"/>
              <w:rPr>
                <w:rFonts w:cs="Arial"/>
                <w:color w:val="FFFFFF"/>
                <w:sz w:val="20"/>
                <w:lang w:eastAsia="en-GB"/>
              </w:rPr>
            </w:pPr>
            <w:r w:rsidRPr="006A6CE3">
              <w:rPr>
                <w:rFonts w:cs="Arial"/>
                <w:color w:val="FFFFFF"/>
                <w:sz w:val="20"/>
                <w:lang w:eastAsia="en-GB"/>
              </w:rPr>
              <w:t> </w:t>
            </w:r>
          </w:p>
        </w:tc>
      </w:tr>
      <w:tr w:rsidR="00C64465" w:rsidRPr="006A6CE3" w:rsidTr="00AA48B1">
        <w:trPr>
          <w:trHeight w:val="952"/>
        </w:trPr>
        <w:tc>
          <w:tcPr>
            <w:tcW w:w="2491" w:type="dxa"/>
            <w:gridSpan w:val="2"/>
            <w:shd w:val="clear" w:color="auto" w:fill="FFFFFF"/>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Purchases of refrigerant used to charge new equipment (kg)</w:t>
            </w:r>
          </w:p>
        </w:tc>
        <w:tc>
          <w:tcPr>
            <w:tcW w:w="250"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16" w:type="dxa"/>
            <w:gridSpan w:val="2"/>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Total full capacity of the new equipment (kg)</w:t>
            </w:r>
          </w:p>
        </w:tc>
        <w:tc>
          <w:tcPr>
            <w:tcW w:w="374" w:type="dxa"/>
            <w:gridSpan w:val="3"/>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741" w:type="dxa"/>
            <w:gridSpan w:val="3"/>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Quantity of refrigerant used to service equipment (kg)</w:t>
            </w:r>
          </w:p>
        </w:tc>
        <w:tc>
          <w:tcPr>
            <w:tcW w:w="250"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16"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Total full capacity of retiring equipment (kg)</w:t>
            </w:r>
          </w:p>
        </w:tc>
        <w:tc>
          <w:tcPr>
            <w:tcW w:w="249"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16"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xml:space="preserve">Refrigerant recovered from retiring equipment (kg) </w:t>
            </w:r>
          </w:p>
        </w:tc>
        <w:tc>
          <w:tcPr>
            <w:tcW w:w="374"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x</w:t>
            </w:r>
          </w:p>
        </w:tc>
        <w:tc>
          <w:tcPr>
            <w:tcW w:w="1368"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xml:space="preserve">Refrigerant type </w:t>
            </w:r>
            <w:r w:rsidRPr="006A6CE3">
              <w:rPr>
                <w:rFonts w:cs="Arial"/>
                <w:color w:val="000000"/>
                <w:sz w:val="20"/>
                <w:lang w:eastAsia="en-GB"/>
              </w:rPr>
              <w:br/>
            </w:r>
          </w:p>
        </w:tc>
        <w:tc>
          <w:tcPr>
            <w:tcW w:w="1120" w:type="dxa"/>
            <w:gridSpan w:val="3"/>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Global Warming Potential (GWP)</w:t>
            </w:r>
          </w:p>
        </w:tc>
        <w:tc>
          <w:tcPr>
            <w:tcW w:w="387" w:type="dxa"/>
            <w:gridSpan w:val="3"/>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33" w:type="dxa"/>
            <w:gridSpan w:val="3"/>
            <w:shd w:val="clear" w:color="auto" w:fill="auto"/>
            <w:hideMark/>
          </w:tcPr>
          <w:p w:rsidR="00913351" w:rsidRPr="006A6CE3" w:rsidRDefault="00913351" w:rsidP="00AA48B1">
            <w:pPr>
              <w:tabs>
                <w:tab w:val="left" w:pos="851"/>
              </w:tabs>
              <w:spacing w:before="0" w:after="0" w:line="240" w:lineRule="auto"/>
              <w:ind w:right="34"/>
              <w:rPr>
                <w:rFonts w:cs="Arial"/>
                <w:color w:val="000000"/>
                <w:sz w:val="20"/>
                <w:lang w:eastAsia="en-GB"/>
              </w:rPr>
            </w:pPr>
            <w:r w:rsidRPr="006A6CE3">
              <w:rPr>
                <w:rFonts w:cs="Arial"/>
                <w:color w:val="000000"/>
                <w:sz w:val="20"/>
                <w:lang w:eastAsia="en-GB"/>
              </w:rPr>
              <w:t>Total kg CO</w:t>
            </w:r>
            <w:r w:rsidRPr="006A6CE3">
              <w:rPr>
                <w:rFonts w:cs="Arial"/>
                <w:color w:val="000000"/>
                <w:sz w:val="20"/>
                <w:vertAlign w:val="subscript"/>
                <w:lang w:eastAsia="en-GB"/>
              </w:rPr>
              <w:t>2</w:t>
            </w:r>
            <w:r w:rsidRPr="006A6CE3">
              <w:rPr>
                <w:rFonts w:cs="Arial"/>
                <w:color w:val="000000"/>
                <w:sz w:val="20"/>
                <w:lang w:eastAsia="en-GB"/>
              </w:rPr>
              <w:t xml:space="preserve"> equivalent</w:t>
            </w:r>
          </w:p>
        </w:tc>
      </w:tr>
      <w:tr w:rsidR="00C64465" w:rsidRPr="006A6CE3" w:rsidTr="00AA48B1">
        <w:trPr>
          <w:trHeight w:val="238"/>
        </w:trPr>
        <w:tc>
          <w:tcPr>
            <w:tcW w:w="1372" w:type="dxa"/>
            <w:shd w:val="clear" w:color="auto" w:fill="FFFFFF"/>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Refrigerant 1</w:t>
            </w:r>
          </w:p>
        </w:tc>
        <w:tc>
          <w:tcPr>
            <w:tcW w:w="1119"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250"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16" w:type="dxa"/>
            <w:gridSpan w:val="2"/>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374" w:type="dxa"/>
            <w:gridSpan w:val="3"/>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741"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250"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16"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249"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16"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374"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x</w:t>
            </w:r>
          </w:p>
        </w:tc>
        <w:tc>
          <w:tcPr>
            <w:tcW w:w="1368"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1120"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87"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33"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r>
      <w:tr w:rsidR="00C64465" w:rsidRPr="006A6CE3" w:rsidTr="00AA48B1">
        <w:trPr>
          <w:trHeight w:val="238"/>
        </w:trPr>
        <w:tc>
          <w:tcPr>
            <w:tcW w:w="1372" w:type="dxa"/>
            <w:shd w:val="clear" w:color="auto" w:fill="FFFFFF"/>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Refrigerant 2</w:t>
            </w:r>
          </w:p>
        </w:tc>
        <w:tc>
          <w:tcPr>
            <w:tcW w:w="1119"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250"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16" w:type="dxa"/>
            <w:gridSpan w:val="2"/>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374" w:type="dxa"/>
            <w:gridSpan w:val="3"/>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741"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250"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16"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249"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16"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374"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x</w:t>
            </w:r>
          </w:p>
        </w:tc>
        <w:tc>
          <w:tcPr>
            <w:tcW w:w="1368"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1120"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87"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33"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r>
      <w:tr w:rsidR="00C64465" w:rsidRPr="006A6CE3" w:rsidTr="00AA48B1">
        <w:trPr>
          <w:trHeight w:val="238"/>
        </w:trPr>
        <w:tc>
          <w:tcPr>
            <w:tcW w:w="1372" w:type="dxa"/>
            <w:shd w:val="clear" w:color="auto" w:fill="FFFFFF"/>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Refrigerant 3</w:t>
            </w:r>
          </w:p>
        </w:tc>
        <w:tc>
          <w:tcPr>
            <w:tcW w:w="1119"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250"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16" w:type="dxa"/>
            <w:gridSpan w:val="2"/>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374" w:type="dxa"/>
            <w:gridSpan w:val="3"/>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741"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250"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16"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249"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16"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374"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x</w:t>
            </w:r>
          </w:p>
        </w:tc>
        <w:tc>
          <w:tcPr>
            <w:tcW w:w="1368"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1120"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87"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33"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r>
      <w:tr w:rsidR="00C64465" w:rsidRPr="006A6CE3" w:rsidTr="00AA48B1">
        <w:trPr>
          <w:trHeight w:val="238"/>
        </w:trPr>
        <w:tc>
          <w:tcPr>
            <w:tcW w:w="1372" w:type="dxa"/>
            <w:shd w:val="clear" w:color="auto" w:fill="FFFFFF"/>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Refrigerant 4</w:t>
            </w:r>
          </w:p>
        </w:tc>
        <w:tc>
          <w:tcPr>
            <w:tcW w:w="1119"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250"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16" w:type="dxa"/>
            <w:gridSpan w:val="2"/>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374" w:type="dxa"/>
            <w:gridSpan w:val="3"/>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741"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250"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16"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249"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16"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374"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x</w:t>
            </w:r>
          </w:p>
        </w:tc>
        <w:tc>
          <w:tcPr>
            <w:tcW w:w="1368"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1120"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87"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33"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r>
      <w:tr w:rsidR="00C64465" w:rsidRPr="006A6CE3" w:rsidTr="00AA48B1">
        <w:trPr>
          <w:trHeight w:val="238"/>
        </w:trPr>
        <w:tc>
          <w:tcPr>
            <w:tcW w:w="1372" w:type="dxa"/>
            <w:shd w:val="clear" w:color="auto" w:fill="FFFFFF"/>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Refrigerant 5</w:t>
            </w:r>
          </w:p>
        </w:tc>
        <w:tc>
          <w:tcPr>
            <w:tcW w:w="1119"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250"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16" w:type="dxa"/>
            <w:gridSpan w:val="2"/>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374" w:type="dxa"/>
            <w:gridSpan w:val="3"/>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741"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250"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16"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249"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16"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374"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x</w:t>
            </w:r>
          </w:p>
        </w:tc>
        <w:tc>
          <w:tcPr>
            <w:tcW w:w="1368"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1120"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87"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33"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r>
      <w:tr w:rsidR="00C64465" w:rsidRPr="006A6CE3" w:rsidTr="00AA48B1">
        <w:trPr>
          <w:trHeight w:val="238"/>
        </w:trPr>
        <w:tc>
          <w:tcPr>
            <w:tcW w:w="1372" w:type="dxa"/>
            <w:shd w:val="clear" w:color="auto" w:fill="FFFFFF"/>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Refrigerant 6</w:t>
            </w:r>
          </w:p>
        </w:tc>
        <w:tc>
          <w:tcPr>
            <w:tcW w:w="1119"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250"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16" w:type="dxa"/>
            <w:gridSpan w:val="2"/>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374" w:type="dxa"/>
            <w:gridSpan w:val="3"/>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741"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250"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16"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249"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16"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374"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x</w:t>
            </w:r>
          </w:p>
        </w:tc>
        <w:tc>
          <w:tcPr>
            <w:tcW w:w="1368"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1120"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87"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33"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r>
      <w:tr w:rsidR="00C64465" w:rsidRPr="006A6CE3" w:rsidTr="00AA48B1">
        <w:trPr>
          <w:trHeight w:val="238"/>
        </w:trPr>
        <w:tc>
          <w:tcPr>
            <w:tcW w:w="1372" w:type="dxa"/>
            <w:shd w:val="clear" w:color="auto" w:fill="FFFFFF"/>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Refrigerant 7</w:t>
            </w:r>
          </w:p>
        </w:tc>
        <w:tc>
          <w:tcPr>
            <w:tcW w:w="1119"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250"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16" w:type="dxa"/>
            <w:gridSpan w:val="2"/>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374" w:type="dxa"/>
            <w:gridSpan w:val="3"/>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741"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250"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16"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249"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16"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374"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x</w:t>
            </w:r>
          </w:p>
        </w:tc>
        <w:tc>
          <w:tcPr>
            <w:tcW w:w="1368"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1120"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87"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33"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r>
      <w:tr w:rsidR="00C64465" w:rsidRPr="006A6CE3" w:rsidTr="00AA48B1">
        <w:trPr>
          <w:trHeight w:val="238"/>
        </w:trPr>
        <w:tc>
          <w:tcPr>
            <w:tcW w:w="1372" w:type="dxa"/>
            <w:shd w:val="clear" w:color="auto" w:fill="FFFFFF"/>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Refrigerant 8</w:t>
            </w:r>
          </w:p>
        </w:tc>
        <w:tc>
          <w:tcPr>
            <w:tcW w:w="1119"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250"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16" w:type="dxa"/>
            <w:gridSpan w:val="2"/>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374" w:type="dxa"/>
            <w:gridSpan w:val="3"/>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741"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250"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16"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249"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16"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374"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x</w:t>
            </w:r>
          </w:p>
        </w:tc>
        <w:tc>
          <w:tcPr>
            <w:tcW w:w="1368"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1120"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87"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33"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r>
      <w:tr w:rsidR="00C64465" w:rsidRPr="006A6CE3" w:rsidTr="00AA48B1">
        <w:trPr>
          <w:trHeight w:val="238"/>
        </w:trPr>
        <w:tc>
          <w:tcPr>
            <w:tcW w:w="1372" w:type="dxa"/>
            <w:shd w:val="clear" w:color="auto" w:fill="FFFFFF"/>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Refrigerant 9</w:t>
            </w:r>
          </w:p>
        </w:tc>
        <w:tc>
          <w:tcPr>
            <w:tcW w:w="1119"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250"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16" w:type="dxa"/>
            <w:gridSpan w:val="2"/>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374" w:type="dxa"/>
            <w:gridSpan w:val="3"/>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741"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250"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16"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249"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16"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374"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x</w:t>
            </w:r>
          </w:p>
        </w:tc>
        <w:tc>
          <w:tcPr>
            <w:tcW w:w="1368"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1120"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87"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33"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r>
      <w:tr w:rsidR="00C64465" w:rsidRPr="006A6CE3" w:rsidTr="00AA48B1">
        <w:trPr>
          <w:trHeight w:val="238"/>
        </w:trPr>
        <w:tc>
          <w:tcPr>
            <w:tcW w:w="1372" w:type="dxa"/>
            <w:shd w:val="clear" w:color="auto" w:fill="FFFFFF"/>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Refrigerant 10</w:t>
            </w:r>
          </w:p>
        </w:tc>
        <w:tc>
          <w:tcPr>
            <w:tcW w:w="1119"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250"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16" w:type="dxa"/>
            <w:gridSpan w:val="2"/>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374" w:type="dxa"/>
            <w:gridSpan w:val="3"/>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741"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250"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16"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249"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16"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374" w:type="dxa"/>
            <w:shd w:val="clear" w:color="auto" w:fill="auto"/>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x</w:t>
            </w:r>
          </w:p>
        </w:tc>
        <w:tc>
          <w:tcPr>
            <w:tcW w:w="1368" w:type="dxa"/>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c>
          <w:tcPr>
            <w:tcW w:w="1120"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16"/>
                <w:szCs w:val="16"/>
                <w:lang w:eastAsia="en-GB"/>
              </w:rPr>
            </w:pPr>
            <w:r w:rsidRPr="006A6CE3">
              <w:rPr>
                <w:rFonts w:cs="Arial"/>
                <w:color w:val="000000"/>
                <w:sz w:val="16"/>
                <w:szCs w:val="16"/>
                <w:lang w:eastAsia="en-GB"/>
              </w:rPr>
              <w:t> </w:t>
            </w:r>
          </w:p>
        </w:tc>
        <w:tc>
          <w:tcPr>
            <w:tcW w:w="387"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w:t>
            </w:r>
          </w:p>
        </w:tc>
        <w:tc>
          <w:tcPr>
            <w:tcW w:w="1633" w:type="dxa"/>
            <w:gridSpan w:val="3"/>
            <w:shd w:val="clear" w:color="auto" w:fill="auto"/>
            <w:noWrap/>
            <w:hideMark/>
          </w:tcPr>
          <w:p w:rsidR="00913351" w:rsidRPr="006A6CE3" w:rsidRDefault="00913351" w:rsidP="00AA48B1">
            <w:pPr>
              <w:tabs>
                <w:tab w:val="left" w:pos="851"/>
              </w:tabs>
              <w:spacing w:before="0" w:after="0" w:line="240" w:lineRule="auto"/>
              <w:rPr>
                <w:rFonts w:cs="Arial"/>
                <w:color w:val="000000"/>
                <w:sz w:val="20"/>
                <w:lang w:eastAsia="en-GB"/>
              </w:rPr>
            </w:pPr>
            <w:r w:rsidRPr="006A6CE3">
              <w:rPr>
                <w:rFonts w:cs="Arial"/>
                <w:color w:val="000000"/>
                <w:sz w:val="20"/>
                <w:lang w:eastAsia="en-GB"/>
              </w:rPr>
              <w:t> </w:t>
            </w:r>
          </w:p>
        </w:tc>
      </w:tr>
      <w:tr w:rsidR="00C64465" w:rsidRPr="006A6CE3" w:rsidTr="00AA48B1">
        <w:trPr>
          <w:trHeight w:val="238"/>
        </w:trPr>
        <w:tc>
          <w:tcPr>
            <w:tcW w:w="1372" w:type="dxa"/>
            <w:shd w:val="clear" w:color="auto" w:fill="FFFFFF"/>
            <w:hideMark/>
          </w:tcPr>
          <w:p w:rsidR="00913351" w:rsidRPr="006A6CE3" w:rsidRDefault="00913351"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Total</w:t>
            </w:r>
          </w:p>
        </w:tc>
        <w:tc>
          <w:tcPr>
            <w:tcW w:w="1119" w:type="dxa"/>
            <w:shd w:val="clear" w:color="auto" w:fill="auto"/>
            <w:noWrap/>
            <w:hideMark/>
          </w:tcPr>
          <w:p w:rsidR="00913351" w:rsidRPr="006A6CE3" w:rsidRDefault="00913351"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250" w:type="dxa"/>
            <w:shd w:val="clear" w:color="auto" w:fill="auto"/>
            <w:noWrap/>
            <w:hideMark/>
          </w:tcPr>
          <w:p w:rsidR="00913351" w:rsidRPr="006A6CE3" w:rsidRDefault="00913351"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1616" w:type="dxa"/>
            <w:gridSpan w:val="2"/>
            <w:shd w:val="clear" w:color="auto" w:fill="auto"/>
            <w:noWrap/>
            <w:hideMark/>
          </w:tcPr>
          <w:p w:rsidR="00913351" w:rsidRPr="006A6CE3" w:rsidRDefault="00913351"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374" w:type="dxa"/>
            <w:gridSpan w:val="3"/>
            <w:shd w:val="clear" w:color="auto" w:fill="auto"/>
            <w:noWrap/>
            <w:hideMark/>
          </w:tcPr>
          <w:p w:rsidR="00913351" w:rsidRPr="006A6CE3" w:rsidRDefault="00913351"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1741" w:type="dxa"/>
            <w:gridSpan w:val="3"/>
            <w:shd w:val="clear" w:color="auto" w:fill="auto"/>
            <w:noWrap/>
            <w:hideMark/>
          </w:tcPr>
          <w:p w:rsidR="00913351" w:rsidRPr="006A6CE3" w:rsidRDefault="00913351"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250" w:type="dxa"/>
            <w:shd w:val="clear" w:color="auto" w:fill="auto"/>
            <w:noWrap/>
            <w:hideMark/>
          </w:tcPr>
          <w:p w:rsidR="00913351" w:rsidRPr="006A6CE3" w:rsidRDefault="00913351"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1616" w:type="dxa"/>
            <w:shd w:val="clear" w:color="auto" w:fill="auto"/>
            <w:noWrap/>
            <w:hideMark/>
          </w:tcPr>
          <w:p w:rsidR="00913351" w:rsidRPr="006A6CE3" w:rsidRDefault="00913351"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249" w:type="dxa"/>
            <w:shd w:val="clear" w:color="auto" w:fill="auto"/>
            <w:noWrap/>
            <w:hideMark/>
          </w:tcPr>
          <w:p w:rsidR="00913351" w:rsidRPr="006A6CE3" w:rsidRDefault="00913351"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1616" w:type="dxa"/>
            <w:shd w:val="clear" w:color="auto" w:fill="auto"/>
            <w:noWrap/>
            <w:hideMark/>
          </w:tcPr>
          <w:p w:rsidR="00913351" w:rsidRPr="006A6CE3" w:rsidRDefault="00913351"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374" w:type="dxa"/>
            <w:shd w:val="clear" w:color="auto" w:fill="auto"/>
            <w:noWrap/>
            <w:hideMark/>
          </w:tcPr>
          <w:p w:rsidR="00913351" w:rsidRPr="006A6CE3" w:rsidRDefault="00913351"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1368" w:type="dxa"/>
            <w:shd w:val="clear" w:color="auto" w:fill="auto"/>
            <w:noWrap/>
            <w:hideMark/>
          </w:tcPr>
          <w:p w:rsidR="00913351" w:rsidRPr="006A6CE3" w:rsidRDefault="00913351" w:rsidP="00AA48B1">
            <w:pPr>
              <w:tabs>
                <w:tab w:val="left" w:pos="851"/>
              </w:tabs>
              <w:spacing w:before="0" w:after="0" w:line="240" w:lineRule="auto"/>
              <w:rPr>
                <w:rFonts w:cs="Arial"/>
                <w:b/>
                <w:bCs/>
                <w:color w:val="000000"/>
                <w:sz w:val="16"/>
                <w:szCs w:val="16"/>
                <w:lang w:eastAsia="en-GB"/>
              </w:rPr>
            </w:pPr>
          </w:p>
        </w:tc>
        <w:tc>
          <w:tcPr>
            <w:tcW w:w="1120" w:type="dxa"/>
            <w:gridSpan w:val="3"/>
            <w:shd w:val="clear" w:color="auto" w:fill="auto"/>
            <w:noWrap/>
            <w:hideMark/>
          </w:tcPr>
          <w:p w:rsidR="00913351" w:rsidRPr="006A6CE3" w:rsidRDefault="00913351"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p w:rsidR="00913351" w:rsidRPr="006A6CE3" w:rsidRDefault="00913351"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387" w:type="dxa"/>
            <w:gridSpan w:val="3"/>
            <w:shd w:val="clear" w:color="auto" w:fill="auto"/>
            <w:noWrap/>
            <w:hideMark/>
          </w:tcPr>
          <w:p w:rsidR="00913351" w:rsidRPr="006A6CE3" w:rsidRDefault="00913351"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c>
          <w:tcPr>
            <w:tcW w:w="1633" w:type="dxa"/>
            <w:gridSpan w:val="3"/>
            <w:shd w:val="clear" w:color="auto" w:fill="auto"/>
            <w:noWrap/>
            <w:hideMark/>
          </w:tcPr>
          <w:p w:rsidR="00913351" w:rsidRPr="006A6CE3" w:rsidRDefault="00913351" w:rsidP="00AA48B1">
            <w:pPr>
              <w:tabs>
                <w:tab w:val="left" w:pos="851"/>
              </w:tabs>
              <w:spacing w:before="0" w:after="0" w:line="240" w:lineRule="auto"/>
              <w:rPr>
                <w:rFonts w:cs="Arial"/>
                <w:b/>
                <w:bCs/>
                <w:color w:val="000000"/>
                <w:sz w:val="16"/>
                <w:szCs w:val="16"/>
                <w:lang w:eastAsia="en-GB"/>
              </w:rPr>
            </w:pPr>
            <w:r w:rsidRPr="006A6CE3">
              <w:rPr>
                <w:rFonts w:cs="Arial"/>
                <w:b/>
                <w:bCs/>
                <w:color w:val="000000"/>
                <w:sz w:val="16"/>
                <w:szCs w:val="16"/>
                <w:lang w:eastAsia="en-GB"/>
              </w:rPr>
              <w:t> </w:t>
            </w:r>
          </w:p>
        </w:tc>
      </w:tr>
    </w:tbl>
    <w:p w:rsidR="00913351" w:rsidRPr="006A6CE3" w:rsidRDefault="00913351" w:rsidP="00E204D9">
      <w:pPr>
        <w:tabs>
          <w:tab w:val="left" w:pos="851"/>
        </w:tabs>
        <w:ind w:left="1080"/>
        <w:rPr>
          <w:rFonts w:cs="Arial"/>
        </w:rPr>
        <w:sectPr w:rsidR="00913351" w:rsidRPr="006A6CE3" w:rsidSect="00913351">
          <w:pgSz w:w="16838" w:h="11906" w:orient="landscape" w:code="9"/>
          <w:pgMar w:top="1797" w:right="1440" w:bottom="1797" w:left="284" w:header="709" w:footer="709" w:gutter="0"/>
          <w:pgBorders w:offsetFrom="page">
            <w:top w:val="single" w:sz="4" w:space="24" w:color="auto"/>
          </w:pgBorders>
          <w:cols w:space="708"/>
          <w:docGrid w:linePitch="360"/>
        </w:sectPr>
      </w:pPr>
    </w:p>
    <w:p w:rsidR="00913351" w:rsidRPr="006A6CE3" w:rsidRDefault="00913351" w:rsidP="00E204D9">
      <w:pPr>
        <w:tabs>
          <w:tab w:val="left" w:pos="851"/>
        </w:tabs>
        <w:ind w:left="1080"/>
        <w:rPr>
          <w:rFonts w:cs="Arial"/>
        </w:rPr>
      </w:pPr>
    </w:p>
    <w:p w:rsidR="00913351" w:rsidRPr="006A6CE3" w:rsidRDefault="00913351" w:rsidP="00E204D9">
      <w:pPr>
        <w:tabs>
          <w:tab w:val="left" w:pos="851"/>
        </w:tabs>
        <w:ind w:left="720"/>
        <w:rPr>
          <w:rFonts w:cs="Arial"/>
          <w:b/>
        </w:rPr>
      </w:pPr>
      <w:r w:rsidRPr="006A6CE3">
        <w:rPr>
          <w:rFonts w:cs="Arial"/>
          <w:b/>
        </w:rPr>
        <w:t>Sources of this data</w:t>
      </w:r>
    </w:p>
    <w:p w:rsidR="00913351" w:rsidRPr="006A6CE3" w:rsidRDefault="00913351" w:rsidP="00E204D9">
      <w:pPr>
        <w:tabs>
          <w:tab w:val="left" w:pos="851"/>
        </w:tabs>
        <w:ind w:left="720"/>
        <w:rPr>
          <w:rFonts w:cs="Arial"/>
        </w:rPr>
        <w:sectPr w:rsidR="00913351" w:rsidRPr="006A6CE3" w:rsidSect="00913351">
          <w:pgSz w:w="11906" w:h="16838" w:code="9"/>
          <w:pgMar w:top="1440" w:right="1797" w:bottom="284" w:left="1797" w:header="709" w:footer="709" w:gutter="0"/>
          <w:pgBorders w:offsetFrom="page">
            <w:top w:val="single" w:sz="4" w:space="24" w:color="auto"/>
          </w:pgBorders>
          <w:cols w:space="708"/>
          <w:docGrid w:linePitch="360"/>
        </w:sectPr>
      </w:pPr>
      <w:r w:rsidRPr="006A6CE3">
        <w:rPr>
          <w:rFonts w:cs="Arial"/>
        </w:rPr>
        <w:t xml:space="preserve">The following sources have been used: UK Greenhouse Gas Inventory for 2011 (Ricardo-AEA); </w:t>
      </w:r>
      <w:hyperlink r:id="rId73" w:history="1">
        <w:r w:rsidRPr="006A6CE3">
          <w:rPr>
            <w:rStyle w:val="Hyperlink"/>
            <w:rFonts w:cs="Arial"/>
          </w:rPr>
          <w:t>2006 IPCC Guidelines for National Greenhouse Inventories</w:t>
        </w:r>
      </w:hyperlink>
      <w:r w:rsidRPr="006A6CE3">
        <w:rPr>
          <w:rFonts w:cs="Arial"/>
        </w:rPr>
        <w:t xml:space="preserve">; </w:t>
      </w:r>
      <w:hyperlink r:id="rId74" w:history="1">
        <w:r w:rsidRPr="006A6CE3">
          <w:rPr>
            <w:rStyle w:val="Hyperlink"/>
            <w:rFonts w:cs="Arial"/>
          </w:rPr>
          <w:t>US EPA Climate Leaders Greenhouse Gas Inventory Protocol Core Module Guidance - Direct HFC and PFC Emissions from use of Refrigeration and Air Conditioning Equipment</w:t>
        </w:r>
      </w:hyperlink>
      <w:r w:rsidRPr="006A6CE3">
        <w:rPr>
          <w:rFonts w:cs="Arial"/>
        </w:rPr>
        <w:t xml:space="preserve">. </w:t>
      </w:r>
    </w:p>
    <w:p w:rsidR="00913351" w:rsidRPr="006A6CE3" w:rsidRDefault="00913351" w:rsidP="00EA5B43">
      <w:pPr>
        <w:pStyle w:val="Heading2"/>
      </w:pPr>
      <w:bookmarkStart w:id="302" w:name="_Annex_D:_Heat"/>
      <w:bookmarkStart w:id="303" w:name="_Toc358054596"/>
      <w:bookmarkStart w:id="304" w:name="_Toc358060236"/>
      <w:bookmarkStart w:id="305" w:name="_Toc358302309"/>
      <w:bookmarkStart w:id="306" w:name="_Toc380763589"/>
      <w:bookmarkEnd w:id="302"/>
      <w:r w:rsidRPr="006A6CE3">
        <w:lastRenderedPageBreak/>
        <w:t>Annex D: Heat</w:t>
      </w:r>
      <w:r w:rsidR="001E2939">
        <w:t>,</w:t>
      </w:r>
      <w:r w:rsidR="009A57EA">
        <w:t xml:space="preserve"> s</w:t>
      </w:r>
      <w:r w:rsidRPr="006A6CE3">
        <w:t>team</w:t>
      </w:r>
      <w:bookmarkEnd w:id="303"/>
      <w:bookmarkEnd w:id="304"/>
      <w:r w:rsidR="001E2939">
        <w:t xml:space="preserve"> and CHP</w:t>
      </w:r>
      <w:bookmarkEnd w:id="305"/>
      <w:bookmarkEnd w:id="306"/>
    </w:p>
    <w:p w:rsidR="00913351" w:rsidRPr="006A6CE3" w:rsidRDefault="00913351" w:rsidP="00E204D9">
      <w:pPr>
        <w:pStyle w:val="Heading4"/>
        <w:rPr>
          <w:rFonts w:cs="Arial"/>
          <w:i w:val="0"/>
          <w:color w:val="76923C"/>
          <w:sz w:val="28"/>
          <w:szCs w:val="28"/>
        </w:rPr>
      </w:pPr>
      <w:r w:rsidRPr="006A6CE3">
        <w:rPr>
          <w:rFonts w:cs="Arial"/>
          <w:i w:val="0"/>
          <w:color w:val="76923C"/>
          <w:sz w:val="28"/>
          <w:szCs w:val="28"/>
        </w:rPr>
        <w:t>Generating heat/steam</w:t>
      </w:r>
      <w:r w:rsidR="001E2939">
        <w:rPr>
          <w:rFonts w:cs="Arial"/>
          <w:i w:val="0"/>
          <w:color w:val="76923C"/>
          <w:sz w:val="28"/>
          <w:szCs w:val="28"/>
        </w:rPr>
        <w:t>/electricity</w:t>
      </w:r>
    </w:p>
    <w:p w:rsidR="00913351" w:rsidRPr="006A6CE3" w:rsidRDefault="00913351" w:rsidP="00E204D9">
      <w:pPr>
        <w:rPr>
          <w:rFonts w:cs="Arial"/>
        </w:rPr>
      </w:pPr>
      <w:r w:rsidRPr="006A6CE3">
        <w:rPr>
          <w:rFonts w:cs="Arial"/>
        </w:rPr>
        <w:t xml:space="preserve">If you generate heat/steam by burning fuel, you can use the UK government </w:t>
      </w:r>
      <w:r w:rsidR="006B265F" w:rsidRPr="006A6CE3">
        <w:rPr>
          <w:rFonts w:cs="Arial"/>
        </w:rPr>
        <w:t>conversion factors</w:t>
      </w:r>
      <w:r w:rsidRPr="006A6CE3">
        <w:rPr>
          <w:rFonts w:cs="Arial"/>
        </w:rPr>
        <w:t xml:space="preserve"> for different fuels to calculate the emissions. If you have a Combined Heat and Power (CHP) plant and you use all the electricity and heat that it produces, there is no need for you to allocate the emissions from the CHP plant between the electricity and heat output in your reporting. This is because you are using all the outputs from the CHP. Remember emissions from burning biomass are logged differently to those from fossil fuel: the N</w:t>
      </w:r>
      <w:r w:rsidRPr="006A6CE3">
        <w:rPr>
          <w:rFonts w:cs="Arial"/>
          <w:vertAlign w:val="subscript"/>
        </w:rPr>
        <w:t>2</w:t>
      </w:r>
      <w:r w:rsidRPr="006A6CE3">
        <w:rPr>
          <w:rFonts w:cs="Arial"/>
        </w:rPr>
        <w:t>O and CH</w:t>
      </w:r>
      <w:r w:rsidRPr="006A6CE3">
        <w:rPr>
          <w:rFonts w:cs="Arial"/>
          <w:vertAlign w:val="subscript"/>
        </w:rPr>
        <w:t>4</w:t>
      </w:r>
      <w:r w:rsidRPr="006A6CE3">
        <w:rPr>
          <w:rFonts w:cs="Arial"/>
        </w:rPr>
        <w:t xml:space="preserve"> emissions would be logged under your Scope 1 but the CO2 emissions from biomass are logged separately from the scopes.</w:t>
      </w:r>
    </w:p>
    <w:p w:rsidR="00913351" w:rsidRPr="006A6CE3" w:rsidRDefault="00913351" w:rsidP="00E204D9">
      <w:pPr>
        <w:rPr>
          <w:rFonts w:cs="Arial"/>
        </w:rPr>
      </w:pPr>
      <w:r w:rsidRPr="006A6CE3">
        <w:rPr>
          <w:rFonts w:cs="Arial"/>
        </w:rPr>
        <w:t xml:space="preserve">If you sell some or all of the electricity and/or heat that you produce to others, then </w:t>
      </w:r>
      <w:r w:rsidR="001E2939">
        <w:rPr>
          <w:rFonts w:cs="Arial"/>
        </w:rPr>
        <w:t xml:space="preserve">emissions need to be allocated. </w:t>
      </w:r>
      <w:r w:rsidRPr="006A6CE3">
        <w:rPr>
          <w:rFonts w:cs="Arial"/>
        </w:rPr>
        <w:t xml:space="preserve">In non-CHP plant, it is an allocation of the total emissions in proportion to the amount of heat/steam that they buy. If you have a CHP plant, then you need to allocate emissions between the heat and electricity first before allocating </w:t>
      </w:r>
      <w:r w:rsidR="001E2939">
        <w:rPr>
          <w:rFonts w:cs="Arial"/>
        </w:rPr>
        <w:t xml:space="preserve">emissions between yourself and </w:t>
      </w:r>
      <w:r w:rsidRPr="006A6CE3">
        <w:rPr>
          <w:rFonts w:cs="Arial"/>
        </w:rPr>
        <w:t xml:space="preserve">customers. There are three methods for doing this. One option is shown below; other methods are shown in the </w:t>
      </w:r>
      <w:hyperlink r:id="rId75" w:history="1">
        <w:r w:rsidRPr="0023258D">
          <w:rPr>
            <w:rStyle w:val="Hyperlink"/>
            <w:rFonts w:cs="Arial"/>
          </w:rPr>
          <w:t>UK Government conversion factor methodology document</w:t>
        </w:r>
      </w:hyperlink>
      <w:r w:rsidRPr="006A6CE3">
        <w:rPr>
          <w:rFonts w:cs="Arial"/>
        </w:rPr>
        <w:t>.</w:t>
      </w:r>
    </w:p>
    <w:p w:rsidR="00913351" w:rsidRPr="006A6CE3" w:rsidRDefault="00913351" w:rsidP="00E204D9">
      <w:pPr>
        <w:rPr>
          <w:rFonts w:cs="Arial"/>
        </w:rPr>
      </w:pPr>
      <w:r w:rsidRPr="006A6CE3">
        <w:rPr>
          <w:rFonts w:cs="Arial"/>
        </w:rPr>
        <w:t xml:space="preserve">It is typically roughly twice as efficient to generate heat from fossil fuels as it is to generate electricity. Therefore you can attribute the </w:t>
      </w:r>
      <w:r w:rsidR="006B265F" w:rsidRPr="006A6CE3">
        <w:rPr>
          <w:rFonts w:cs="Arial"/>
        </w:rPr>
        <w:t>GHG emissions</w:t>
      </w:r>
      <w:r w:rsidRPr="006A6CE3">
        <w:rPr>
          <w:rFonts w:cs="Arial"/>
        </w:rPr>
        <w:t xml:space="preserve"> from the CHP plant in the ratio 1:2 respectively per kWh of heat and electricity generated. Emissions per kWh of heat or electricity produced by the CHP plant may be calculated in this way using the appropriate formulae below:</w:t>
      </w:r>
    </w:p>
    <w:tbl>
      <w:tblPr>
        <w:tblW w:w="0" w:type="auto"/>
        <w:tblInd w:w="108" w:type="dxa"/>
        <w:tblLook w:val="04A0" w:firstRow="1" w:lastRow="0" w:firstColumn="1" w:lastColumn="0" w:noHBand="0" w:noVBand="1"/>
      </w:tblPr>
      <w:tblGrid>
        <w:gridCol w:w="2430"/>
        <w:gridCol w:w="2430"/>
        <w:gridCol w:w="142"/>
        <w:gridCol w:w="142"/>
        <w:gridCol w:w="1620"/>
        <w:gridCol w:w="1620"/>
        <w:gridCol w:w="1620"/>
        <w:gridCol w:w="1620"/>
      </w:tblGrid>
      <w:tr w:rsidR="00913351" w:rsidRPr="006A6CE3" w:rsidTr="00913351">
        <w:trPr>
          <w:trHeight w:val="300"/>
        </w:trPr>
        <w:tc>
          <w:tcPr>
            <w:tcW w:w="0" w:type="auto"/>
            <w:gridSpan w:val="3"/>
            <w:vMerge w:val="restart"/>
            <w:tcBorders>
              <w:top w:val="nil"/>
              <w:left w:val="nil"/>
              <w:bottom w:val="nil"/>
              <w:right w:val="nil"/>
            </w:tcBorders>
            <w:shd w:val="clear" w:color="000000" w:fill="FFFFFF"/>
            <w:vAlign w:val="center"/>
            <w:hideMark/>
          </w:tcPr>
          <w:p w:rsidR="00913351" w:rsidRPr="006A6CE3" w:rsidRDefault="00913351" w:rsidP="00E204D9">
            <w:pPr>
              <w:spacing w:after="0" w:line="240" w:lineRule="auto"/>
              <w:ind w:firstLineChars="100" w:firstLine="240"/>
              <w:rPr>
                <w:rFonts w:cs="Arial"/>
                <w:lang w:eastAsia="en-GB"/>
              </w:rPr>
            </w:pPr>
            <w:r w:rsidRPr="006A6CE3">
              <w:rPr>
                <w:rFonts w:cs="Arial"/>
                <w:lang w:eastAsia="en-GB"/>
              </w:rPr>
              <w:t>Emissions (in kgCO</w:t>
            </w:r>
            <w:r w:rsidRPr="006A6CE3">
              <w:rPr>
                <w:rFonts w:cs="Arial"/>
                <w:vertAlign w:val="subscript"/>
                <w:lang w:eastAsia="en-GB"/>
              </w:rPr>
              <w:t>2</w:t>
            </w:r>
            <w:r w:rsidRPr="006A6CE3">
              <w:rPr>
                <w:rFonts w:cs="Arial"/>
                <w:lang w:eastAsia="en-GB"/>
              </w:rPr>
              <w:t xml:space="preserve">e) per kWh electricity =   </w:t>
            </w:r>
          </w:p>
        </w:tc>
        <w:tc>
          <w:tcPr>
            <w:tcW w:w="0" w:type="auto"/>
            <w:gridSpan w:val="5"/>
            <w:tcBorders>
              <w:top w:val="nil"/>
              <w:left w:val="nil"/>
              <w:bottom w:val="single" w:sz="4" w:space="0" w:color="auto"/>
              <w:right w:val="nil"/>
            </w:tcBorders>
            <w:shd w:val="clear" w:color="000000" w:fill="FFFFFF"/>
            <w:hideMark/>
          </w:tcPr>
          <w:p w:rsidR="00913351" w:rsidRPr="006A6CE3" w:rsidRDefault="00913351" w:rsidP="00E204D9">
            <w:pPr>
              <w:spacing w:after="0" w:line="240" w:lineRule="auto"/>
              <w:rPr>
                <w:rFonts w:cs="Arial"/>
                <w:lang w:eastAsia="en-GB"/>
              </w:rPr>
            </w:pPr>
            <w:r w:rsidRPr="006A6CE3">
              <w:rPr>
                <w:rFonts w:cs="Arial"/>
                <w:lang w:eastAsia="en-GB"/>
              </w:rPr>
              <w:t>2 x total emissions (in kgCO</w:t>
            </w:r>
            <w:r w:rsidRPr="006A6CE3">
              <w:rPr>
                <w:rFonts w:cs="Arial"/>
                <w:vertAlign w:val="subscript"/>
                <w:lang w:eastAsia="en-GB"/>
              </w:rPr>
              <w:t>2</w:t>
            </w:r>
            <w:r w:rsidRPr="006A6CE3">
              <w:rPr>
                <w:rFonts w:cs="Arial"/>
                <w:lang w:eastAsia="en-GB"/>
              </w:rPr>
              <w:t>e)</w:t>
            </w:r>
          </w:p>
        </w:tc>
      </w:tr>
      <w:tr w:rsidR="00913351" w:rsidRPr="006A6CE3" w:rsidTr="00913351">
        <w:trPr>
          <w:trHeight w:val="255"/>
        </w:trPr>
        <w:tc>
          <w:tcPr>
            <w:tcW w:w="0" w:type="auto"/>
            <w:gridSpan w:val="3"/>
            <w:vMerge/>
            <w:tcBorders>
              <w:top w:val="nil"/>
              <w:left w:val="nil"/>
              <w:bottom w:val="nil"/>
              <w:right w:val="nil"/>
            </w:tcBorders>
            <w:vAlign w:val="center"/>
            <w:hideMark/>
          </w:tcPr>
          <w:p w:rsidR="00913351" w:rsidRPr="006A6CE3" w:rsidRDefault="00913351" w:rsidP="00E204D9">
            <w:pPr>
              <w:spacing w:after="0" w:line="240" w:lineRule="auto"/>
              <w:rPr>
                <w:rFonts w:cs="Arial"/>
                <w:lang w:eastAsia="en-GB"/>
              </w:rPr>
            </w:pPr>
          </w:p>
        </w:tc>
        <w:tc>
          <w:tcPr>
            <w:tcW w:w="0" w:type="auto"/>
            <w:gridSpan w:val="5"/>
            <w:tcBorders>
              <w:top w:val="nil"/>
              <w:left w:val="nil"/>
              <w:bottom w:val="nil"/>
              <w:right w:val="nil"/>
            </w:tcBorders>
            <w:shd w:val="clear" w:color="000000" w:fill="FFFFFF"/>
            <w:hideMark/>
          </w:tcPr>
          <w:p w:rsidR="00913351" w:rsidRPr="006A6CE3" w:rsidRDefault="00913351" w:rsidP="00E204D9">
            <w:pPr>
              <w:spacing w:after="0" w:line="240" w:lineRule="auto"/>
              <w:rPr>
                <w:rFonts w:cs="Arial"/>
                <w:lang w:eastAsia="en-GB"/>
              </w:rPr>
            </w:pPr>
            <w:r w:rsidRPr="006A6CE3">
              <w:rPr>
                <w:rFonts w:cs="Arial"/>
                <w:lang w:eastAsia="en-GB"/>
              </w:rPr>
              <w:t>2 x total electricity produced + total heat produced (in kWh)</w:t>
            </w:r>
          </w:p>
        </w:tc>
      </w:tr>
      <w:tr w:rsidR="00913351" w:rsidRPr="006A6CE3" w:rsidTr="00913351">
        <w:trPr>
          <w:trHeight w:val="255"/>
        </w:trPr>
        <w:tc>
          <w:tcPr>
            <w:tcW w:w="0" w:type="auto"/>
            <w:tcBorders>
              <w:top w:val="nil"/>
              <w:left w:val="nil"/>
              <w:bottom w:val="nil"/>
              <w:right w:val="nil"/>
            </w:tcBorders>
            <w:shd w:val="clear" w:color="000000" w:fill="FFFFFF"/>
            <w:noWrap/>
            <w:vAlign w:val="center"/>
            <w:hideMark/>
          </w:tcPr>
          <w:p w:rsidR="00913351" w:rsidRPr="006A6CE3" w:rsidRDefault="00913351" w:rsidP="00E204D9">
            <w:pPr>
              <w:spacing w:after="0" w:line="240" w:lineRule="auto"/>
              <w:rPr>
                <w:rFonts w:cs="Arial"/>
                <w:lang w:eastAsia="en-GB"/>
              </w:rPr>
            </w:pPr>
            <w:r w:rsidRPr="006A6CE3">
              <w:rPr>
                <w:rFonts w:cs="Arial"/>
                <w:lang w:eastAsia="en-GB"/>
              </w:rPr>
              <w:t> </w:t>
            </w:r>
          </w:p>
        </w:tc>
        <w:tc>
          <w:tcPr>
            <w:tcW w:w="0" w:type="auto"/>
            <w:tcBorders>
              <w:top w:val="nil"/>
              <w:left w:val="nil"/>
              <w:bottom w:val="nil"/>
              <w:right w:val="nil"/>
            </w:tcBorders>
            <w:shd w:val="clear" w:color="000000" w:fill="FFFFFF"/>
            <w:noWrap/>
            <w:vAlign w:val="center"/>
            <w:hideMark/>
          </w:tcPr>
          <w:p w:rsidR="00913351" w:rsidRPr="006A6CE3" w:rsidRDefault="00913351" w:rsidP="00E204D9">
            <w:pPr>
              <w:spacing w:after="0" w:line="240" w:lineRule="auto"/>
              <w:rPr>
                <w:rFonts w:cs="Arial"/>
                <w:lang w:eastAsia="en-GB"/>
              </w:rPr>
            </w:pPr>
            <w:r w:rsidRPr="006A6CE3">
              <w:rPr>
                <w:rFonts w:cs="Arial"/>
                <w:lang w:eastAsia="en-GB"/>
              </w:rPr>
              <w:t> </w:t>
            </w:r>
          </w:p>
        </w:tc>
        <w:tc>
          <w:tcPr>
            <w:tcW w:w="0" w:type="auto"/>
            <w:gridSpan w:val="2"/>
            <w:tcBorders>
              <w:top w:val="nil"/>
              <w:left w:val="nil"/>
              <w:bottom w:val="nil"/>
              <w:right w:val="nil"/>
            </w:tcBorders>
            <w:shd w:val="clear" w:color="000000" w:fill="FFFFFF"/>
            <w:noWrap/>
            <w:vAlign w:val="center"/>
            <w:hideMark/>
          </w:tcPr>
          <w:p w:rsidR="00913351" w:rsidRPr="006A6CE3" w:rsidRDefault="00913351" w:rsidP="00E204D9">
            <w:pPr>
              <w:spacing w:after="0" w:line="240" w:lineRule="auto"/>
              <w:rPr>
                <w:rFonts w:cs="Arial"/>
                <w:lang w:eastAsia="en-GB"/>
              </w:rPr>
            </w:pPr>
            <w:r w:rsidRPr="006A6CE3">
              <w:rPr>
                <w:rFonts w:cs="Arial"/>
                <w:lang w:eastAsia="en-GB"/>
              </w:rPr>
              <w:t> </w:t>
            </w:r>
          </w:p>
        </w:tc>
        <w:tc>
          <w:tcPr>
            <w:tcW w:w="0" w:type="auto"/>
            <w:tcBorders>
              <w:top w:val="nil"/>
              <w:left w:val="nil"/>
              <w:bottom w:val="nil"/>
              <w:right w:val="nil"/>
            </w:tcBorders>
            <w:shd w:val="clear" w:color="000000" w:fill="FFFFFF"/>
            <w:noWrap/>
            <w:vAlign w:val="center"/>
            <w:hideMark/>
          </w:tcPr>
          <w:p w:rsidR="00913351" w:rsidRPr="006A6CE3" w:rsidRDefault="00913351" w:rsidP="00E204D9">
            <w:pPr>
              <w:spacing w:after="0" w:line="240" w:lineRule="auto"/>
              <w:rPr>
                <w:rFonts w:cs="Arial"/>
                <w:lang w:eastAsia="en-GB"/>
              </w:rPr>
            </w:pPr>
            <w:r w:rsidRPr="006A6CE3">
              <w:rPr>
                <w:rFonts w:cs="Arial"/>
                <w:lang w:eastAsia="en-GB"/>
              </w:rPr>
              <w:t> </w:t>
            </w:r>
          </w:p>
        </w:tc>
        <w:tc>
          <w:tcPr>
            <w:tcW w:w="0" w:type="auto"/>
            <w:tcBorders>
              <w:top w:val="nil"/>
              <w:left w:val="nil"/>
              <w:bottom w:val="nil"/>
              <w:right w:val="nil"/>
            </w:tcBorders>
            <w:shd w:val="clear" w:color="000000" w:fill="FFFFFF"/>
            <w:noWrap/>
            <w:hideMark/>
          </w:tcPr>
          <w:p w:rsidR="00913351" w:rsidRPr="006A6CE3" w:rsidRDefault="00913351" w:rsidP="00E204D9">
            <w:pPr>
              <w:spacing w:after="0" w:line="240" w:lineRule="auto"/>
              <w:rPr>
                <w:rFonts w:cs="Arial"/>
                <w:lang w:eastAsia="en-GB"/>
              </w:rPr>
            </w:pPr>
            <w:r w:rsidRPr="006A6CE3">
              <w:rPr>
                <w:rFonts w:cs="Arial"/>
                <w:lang w:eastAsia="en-GB"/>
              </w:rPr>
              <w:t> </w:t>
            </w:r>
          </w:p>
        </w:tc>
        <w:tc>
          <w:tcPr>
            <w:tcW w:w="0" w:type="auto"/>
            <w:tcBorders>
              <w:top w:val="nil"/>
              <w:left w:val="nil"/>
              <w:bottom w:val="nil"/>
              <w:right w:val="nil"/>
            </w:tcBorders>
            <w:shd w:val="clear" w:color="000000" w:fill="FFFFFF"/>
            <w:noWrap/>
            <w:hideMark/>
          </w:tcPr>
          <w:p w:rsidR="00913351" w:rsidRPr="006A6CE3" w:rsidRDefault="00913351" w:rsidP="00E204D9">
            <w:pPr>
              <w:spacing w:after="0" w:line="240" w:lineRule="auto"/>
              <w:rPr>
                <w:rFonts w:cs="Arial"/>
                <w:lang w:eastAsia="en-GB"/>
              </w:rPr>
            </w:pPr>
            <w:r w:rsidRPr="006A6CE3">
              <w:rPr>
                <w:rFonts w:cs="Arial"/>
                <w:lang w:eastAsia="en-GB"/>
              </w:rPr>
              <w:t> </w:t>
            </w:r>
          </w:p>
        </w:tc>
        <w:tc>
          <w:tcPr>
            <w:tcW w:w="0" w:type="auto"/>
            <w:tcBorders>
              <w:top w:val="nil"/>
              <w:left w:val="nil"/>
              <w:bottom w:val="nil"/>
              <w:right w:val="nil"/>
            </w:tcBorders>
            <w:shd w:val="clear" w:color="000000" w:fill="FFFFFF"/>
            <w:noWrap/>
            <w:hideMark/>
          </w:tcPr>
          <w:p w:rsidR="00913351" w:rsidRPr="006A6CE3" w:rsidRDefault="00913351" w:rsidP="00E204D9">
            <w:pPr>
              <w:spacing w:after="0" w:line="240" w:lineRule="auto"/>
              <w:rPr>
                <w:rFonts w:cs="Arial"/>
                <w:lang w:eastAsia="en-GB"/>
              </w:rPr>
            </w:pPr>
            <w:r w:rsidRPr="006A6CE3">
              <w:rPr>
                <w:rFonts w:cs="Arial"/>
                <w:lang w:eastAsia="en-GB"/>
              </w:rPr>
              <w:t> </w:t>
            </w:r>
          </w:p>
        </w:tc>
      </w:tr>
      <w:tr w:rsidR="00913351" w:rsidRPr="006A6CE3" w:rsidTr="00913351">
        <w:trPr>
          <w:trHeight w:val="300"/>
        </w:trPr>
        <w:tc>
          <w:tcPr>
            <w:tcW w:w="0" w:type="auto"/>
            <w:gridSpan w:val="3"/>
            <w:vMerge w:val="restart"/>
            <w:tcBorders>
              <w:top w:val="nil"/>
              <w:left w:val="nil"/>
              <w:bottom w:val="nil"/>
              <w:right w:val="nil"/>
            </w:tcBorders>
            <w:shd w:val="clear" w:color="000000" w:fill="FFFFFF"/>
            <w:vAlign w:val="center"/>
            <w:hideMark/>
          </w:tcPr>
          <w:p w:rsidR="00913351" w:rsidRPr="006A6CE3" w:rsidRDefault="00913351" w:rsidP="00E204D9">
            <w:pPr>
              <w:spacing w:after="0" w:line="240" w:lineRule="auto"/>
              <w:ind w:firstLineChars="100" w:firstLine="240"/>
              <w:rPr>
                <w:rFonts w:cs="Arial"/>
                <w:lang w:eastAsia="en-GB"/>
              </w:rPr>
            </w:pPr>
            <w:r w:rsidRPr="006A6CE3">
              <w:rPr>
                <w:rFonts w:cs="Arial"/>
                <w:lang w:eastAsia="en-GB"/>
              </w:rPr>
              <w:t>Emissions (in kgCO</w:t>
            </w:r>
            <w:r w:rsidRPr="006A6CE3">
              <w:rPr>
                <w:rFonts w:cs="Arial"/>
                <w:vertAlign w:val="subscript"/>
                <w:lang w:eastAsia="en-GB"/>
              </w:rPr>
              <w:t>2</w:t>
            </w:r>
            <w:r w:rsidRPr="006A6CE3">
              <w:rPr>
                <w:rFonts w:cs="Arial"/>
                <w:lang w:eastAsia="en-GB"/>
              </w:rPr>
              <w:t xml:space="preserve">e) per kWh heat = </w:t>
            </w:r>
          </w:p>
        </w:tc>
        <w:tc>
          <w:tcPr>
            <w:tcW w:w="0" w:type="auto"/>
            <w:gridSpan w:val="5"/>
            <w:tcBorders>
              <w:top w:val="nil"/>
              <w:left w:val="nil"/>
              <w:bottom w:val="single" w:sz="4" w:space="0" w:color="auto"/>
              <w:right w:val="nil"/>
            </w:tcBorders>
            <w:shd w:val="clear" w:color="000000" w:fill="FFFFFF"/>
            <w:hideMark/>
          </w:tcPr>
          <w:p w:rsidR="00913351" w:rsidRPr="006A6CE3" w:rsidRDefault="00913351" w:rsidP="00E204D9">
            <w:pPr>
              <w:spacing w:after="0" w:line="240" w:lineRule="auto"/>
              <w:rPr>
                <w:rFonts w:cs="Arial"/>
                <w:lang w:eastAsia="en-GB"/>
              </w:rPr>
            </w:pPr>
            <w:r w:rsidRPr="006A6CE3">
              <w:rPr>
                <w:rFonts w:cs="Arial"/>
                <w:lang w:eastAsia="en-GB"/>
              </w:rPr>
              <w:t>total emissions (in kgCO</w:t>
            </w:r>
            <w:r w:rsidRPr="006A6CE3">
              <w:rPr>
                <w:rFonts w:cs="Arial"/>
                <w:vertAlign w:val="subscript"/>
                <w:lang w:eastAsia="en-GB"/>
              </w:rPr>
              <w:t>2</w:t>
            </w:r>
            <w:r w:rsidRPr="006A6CE3">
              <w:rPr>
                <w:rFonts w:cs="Arial"/>
                <w:lang w:eastAsia="en-GB"/>
              </w:rPr>
              <w:t>e)</w:t>
            </w:r>
          </w:p>
        </w:tc>
      </w:tr>
      <w:tr w:rsidR="00913351" w:rsidRPr="006A6CE3" w:rsidTr="00913351">
        <w:trPr>
          <w:trHeight w:val="255"/>
        </w:trPr>
        <w:tc>
          <w:tcPr>
            <w:tcW w:w="0" w:type="auto"/>
            <w:gridSpan w:val="3"/>
            <w:vMerge/>
            <w:tcBorders>
              <w:top w:val="nil"/>
              <w:left w:val="nil"/>
              <w:bottom w:val="nil"/>
              <w:right w:val="nil"/>
            </w:tcBorders>
            <w:vAlign w:val="center"/>
            <w:hideMark/>
          </w:tcPr>
          <w:p w:rsidR="00913351" w:rsidRPr="006A6CE3" w:rsidRDefault="00913351" w:rsidP="00E204D9">
            <w:pPr>
              <w:spacing w:after="0" w:line="240" w:lineRule="auto"/>
              <w:rPr>
                <w:rFonts w:cs="Arial"/>
                <w:lang w:eastAsia="en-GB"/>
              </w:rPr>
            </w:pPr>
          </w:p>
        </w:tc>
        <w:tc>
          <w:tcPr>
            <w:tcW w:w="0" w:type="auto"/>
            <w:gridSpan w:val="5"/>
            <w:tcBorders>
              <w:top w:val="nil"/>
              <w:left w:val="nil"/>
              <w:bottom w:val="nil"/>
              <w:right w:val="nil"/>
            </w:tcBorders>
            <w:shd w:val="clear" w:color="000000" w:fill="FFFFFF"/>
            <w:hideMark/>
          </w:tcPr>
          <w:p w:rsidR="00913351" w:rsidRPr="006A6CE3" w:rsidRDefault="00913351" w:rsidP="00E204D9">
            <w:pPr>
              <w:spacing w:after="0" w:line="240" w:lineRule="auto"/>
              <w:rPr>
                <w:rFonts w:cs="Arial"/>
                <w:lang w:eastAsia="en-GB"/>
              </w:rPr>
            </w:pPr>
            <w:r w:rsidRPr="006A6CE3">
              <w:rPr>
                <w:rFonts w:cs="Arial"/>
                <w:lang w:eastAsia="en-GB"/>
              </w:rPr>
              <w:t>2 x total electricity produced + total heat produced (in kWh)</w:t>
            </w:r>
          </w:p>
        </w:tc>
      </w:tr>
    </w:tbl>
    <w:p w:rsidR="00913351" w:rsidRPr="006A6CE3" w:rsidRDefault="00913351" w:rsidP="00E204D9">
      <w:pPr>
        <w:autoSpaceDE w:val="0"/>
        <w:autoSpaceDN w:val="0"/>
        <w:adjustRightInd w:val="0"/>
        <w:spacing w:before="0" w:after="0" w:line="240" w:lineRule="auto"/>
        <w:rPr>
          <w:rFonts w:cs="Arial"/>
          <w:color w:val="000000"/>
          <w:szCs w:val="24"/>
          <w:lang w:eastAsia="en-GB"/>
        </w:rPr>
      </w:pPr>
    </w:p>
    <w:p w:rsidR="00913351" w:rsidRPr="006A6CE3" w:rsidRDefault="00913351" w:rsidP="00E204D9">
      <w:pPr>
        <w:rPr>
          <w:rFonts w:cs="Arial"/>
          <w:lang w:eastAsia="en-GB"/>
        </w:rPr>
      </w:pPr>
    </w:p>
    <w:p w:rsidR="00913351" w:rsidRPr="006A6CE3" w:rsidRDefault="00913351" w:rsidP="00E204D9">
      <w:pPr>
        <w:pStyle w:val="Heading4"/>
        <w:rPr>
          <w:rFonts w:cs="Arial"/>
          <w:i w:val="0"/>
          <w:color w:val="76923C"/>
          <w:sz w:val="28"/>
          <w:szCs w:val="28"/>
        </w:rPr>
      </w:pPr>
      <w:r w:rsidRPr="006A6CE3">
        <w:rPr>
          <w:rFonts w:cs="Arial"/>
          <w:i w:val="0"/>
          <w:color w:val="76923C"/>
          <w:sz w:val="28"/>
          <w:szCs w:val="28"/>
        </w:rPr>
        <w:t>Buying heat/steam</w:t>
      </w:r>
      <w:r w:rsidR="00F21A36">
        <w:rPr>
          <w:rFonts w:cs="Arial"/>
          <w:i w:val="0"/>
          <w:color w:val="76923C"/>
          <w:sz w:val="28"/>
          <w:szCs w:val="28"/>
        </w:rPr>
        <w:t>/electricity</w:t>
      </w:r>
    </w:p>
    <w:p w:rsidR="00913351" w:rsidRPr="006A6CE3" w:rsidRDefault="00913351" w:rsidP="00E204D9">
      <w:pPr>
        <w:rPr>
          <w:rFonts w:cs="Arial"/>
        </w:rPr>
      </w:pPr>
      <w:r w:rsidRPr="006A6CE3">
        <w:rPr>
          <w:rFonts w:cs="Arial"/>
        </w:rPr>
        <w:t xml:space="preserve">You may buy heat or steam from others via a direct connection. Emissions associated with the heat or steam would fall into your (the customer’s) </w:t>
      </w:r>
      <w:r w:rsidR="00685E60">
        <w:rPr>
          <w:rFonts w:cs="Arial"/>
        </w:rPr>
        <w:t>Scope</w:t>
      </w:r>
      <w:r w:rsidRPr="006A6CE3">
        <w:rPr>
          <w:rFonts w:cs="Arial"/>
        </w:rPr>
        <w:t xml:space="preserve"> 2. Contact the organisation that you buy from for help in calculating these emissions (you can show them the instructions above if they are unsure). If you cannot get the information from the supplier of the heat/steam, there are some default factors to use in the UK Government conversion factors though these are based on data from CHP schemes only.</w:t>
      </w:r>
    </w:p>
    <w:p w:rsidR="00F21A36" w:rsidRPr="006A6CE3" w:rsidRDefault="00913351" w:rsidP="00E204D9">
      <w:pPr>
        <w:rPr>
          <w:rFonts w:cs="Arial"/>
        </w:rPr>
      </w:pPr>
      <w:r w:rsidRPr="006A6CE3">
        <w:rPr>
          <w:rFonts w:cs="Arial"/>
        </w:rPr>
        <w:t xml:space="preserve">Where the location of use of the heat is some distance from the point of production, there are distribution energy losses. These losses are typically around 5%, which need to be factored into the calculation of overall GHG emissions. Emissions due to losses in distribution are classed as </w:t>
      </w:r>
      <w:r w:rsidR="00685E60">
        <w:rPr>
          <w:rFonts w:cs="Arial"/>
        </w:rPr>
        <w:t>Scope</w:t>
      </w:r>
      <w:r w:rsidRPr="006A6CE3">
        <w:rPr>
          <w:rFonts w:cs="Arial"/>
        </w:rPr>
        <w:t xml:space="preserve"> 3 under the GHG Protocol Corporate Standard</w:t>
      </w:r>
      <w:r w:rsidR="009C0E93">
        <w:rPr>
          <w:rFonts w:cs="Arial"/>
        </w:rPr>
        <w:t>.</w:t>
      </w:r>
      <w:r w:rsidR="009C72E8">
        <w:rPr>
          <w:rFonts w:cs="Arial"/>
        </w:rPr>
        <w:t xml:space="preserve"> </w:t>
      </w:r>
      <w:r w:rsidR="00F21A36">
        <w:rPr>
          <w:rFonts w:cs="Arial"/>
        </w:rPr>
        <w:t xml:space="preserve">If you purchase electricity for your own consumption from a CHP plant, you should </w:t>
      </w:r>
      <w:r w:rsidR="009A57EA">
        <w:rPr>
          <w:rFonts w:cs="Arial"/>
        </w:rPr>
        <w:t>apply the instruction</w:t>
      </w:r>
      <w:r w:rsidR="00E667AC">
        <w:rPr>
          <w:rFonts w:cs="Arial"/>
        </w:rPr>
        <w:t>s</w:t>
      </w:r>
      <w:r w:rsidR="009A57EA">
        <w:rPr>
          <w:rFonts w:cs="Arial"/>
        </w:rPr>
        <w:t xml:space="preserve"> given in the section “</w:t>
      </w:r>
      <w:hyperlink w:anchor="_More_on_Scope" w:history="1">
        <w:r w:rsidR="009A57EA" w:rsidRPr="009A57EA">
          <w:rPr>
            <w:rStyle w:val="Hyperlink"/>
            <w:rFonts w:cs="Arial"/>
          </w:rPr>
          <w:t>More on Scope 2</w:t>
        </w:r>
      </w:hyperlink>
      <w:r w:rsidR="009A57EA">
        <w:rPr>
          <w:rFonts w:cs="Arial"/>
        </w:rPr>
        <w:t>”</w:t>
      </w:r>
      <w:r w:rsidR="00F21A36">
        <w:rPr>
          <w:rFonts w:cs="Arial"/>
        </w:rPr>
        <w:t>.</w:t>
      </w:r>
    </w:p>
    <w:p w:rsidR="007944B7" w:rsidRPr="006A6CE3" w:rsidRDefault="007944B7" w:rsidP="00E204D9">
      <w:pPr>
        <w:pStyle w:val="Heading3"/>
        <w:rPr>
          <w:rFonts w:cs="Arial"/>
          <w:color w:val="76923C"/>
          <w:sz w:val="36"/>
          <w:szCs w:val="36"/>
        </w:rPr>
      </w:pPr>
      <w:bookmarkStart w:id="307" w:name="_Annex_E:_Supply"/>
      <w:bookmarkEnd w:id="297"/>
      <w:bookmarkEnd w:id="298"/>
      <w:bookmarkEnd w:id="299"/>
      <w:bookmarkEnd w:id="300"/>
      <w:bookmarkEnd w:id="301"/>
      <w:bookmarkEnd w:id="307"/>
    </w:p>
    <w:p w:rsidR="009C4F8E" w:rsidRPr="006A6CE3" w:rsidRDefault="009C4F8E" w:rsidP="00E204D9">
      <w:pPr>
        <w:pStyle w:val="Heading3"/>
        <w:rPr>
          <w:rFonts w:cs="Arial"/>
          <w:color w:val="76923C"/>
          <w:sz w:val="36"/>
          <w:szCs w:val="36"/>
        </w:rPr>
      </w:pPr>
    </w:p>
    <w:p w:rsidR="00E17374" w:rsidRDefault="00E17374">
      <w:pPr>
        <w:spacing w:before="0" w:after="0" w:line="240" w:lineRule="auto"/>
        <w:rPr>
          <w:rFonts w:eastAsia="Times New Roman"/>
          <w:b/>
          <w:bCs/>
          <w:color w:val="878800"/>
          <w:sz w:val="36"/>
          <w:szCs w:val="26"/>
        </w:rPr>
      </w:pPr>
      <w:bookmarkStart w:id="308" w:name="_Toc358054597"/>
      <w:bookmarkStart w:id="309" w:name="_Toc358060237"/>
      <w:bookmarkStart w:id="310" w:name="_Toc358302310"/>
      <w:r>
        <w:br w:type="page"/>
      </w:r>
    </w:p>
    <w:p w:rsidR="00913351" w:rsidRPr="006A6CE3" w:rsidRDefault="00913351" w:rsidP="00EA5B43">
      <w:pPr>
        <w:pStyle w:val="Heading2"/>
      </w:pPr>
      <w:bookmarkStart w:id="311" w:name="_Toc380763590"/>
      <w:r w:rsidRPr="006A6CE3">
        <w:lastRenderedPageBreak/>
        <w:t>Annex E: Supply chain emissions</w:t>
      </w:r>
      <w:bookmarkEnd w:id="308"/>
      <w:bookmarkEnd w:id="309"/>
      <w:bookmarkEnd w:id="310"/>
      <w:bookmarkEnd w:id="311"/>
    </w:p>
    <w:p w:rsidR="00913351" w:rsidRPr="006A6CE3" w:rsidRDefault="00913351" w:rsidP="00E204D9">
      <w:pPr>
        <w:rPr>
          <w:rFonts w:cs="Arial"/>
          <w:b/>
        </w:rPr>
      </w:pPr>
      <w:r w:rsidRPr="006A6CE3">
        <w:rPr>
          <w:rFonts w:cs="Arial"/>
          <w:b/>
        </w:rPr>
        <w:t>How to use the table:</w:t>
      </w:r>
    </w:p>
    <w:p w:rsidR="00913351" w:rsidRPr="006A6CE3" w:rsidRDefault="00913351" w:rsidP="00E204D9">
      <w:pPr>
        <w:rPr>
          <w:rFonts w:cs="Arial"/>
        </w:rPr>
      </w:pPr>
      <w:r w:rsidRPr="006A6CE3">
        <w:rPr>
          <w:rFonts w:cs="Arial"/>
        </w:rPr>
        <w:t>1) Identify the amount spent on different product groups (in prices in £s, including VAT).</w:t>
      </w:r>
    </w:p>
    <w:p w:rsidR="00913351" w:rsidRPr="006A6CE3" w:rsidRDefault="00913351" w:rsidP="00E204D9">
      <w:pPr>
        <w:rPr>
          <w:rFonts w:cs="Arial"/>
          <w:szCs w:val="24"/>
        </w:rPr>
      </w:pPr>
      <w:r w:rsidRPr="006A6CE3">
        <w:rPr>
          <w:rFonts w:cs="Arial"/>
        </w:rPr>
        <w:t xml:space="preserve">2) Multiply the amount of spending by the conversion factor to get total emissions in kilograms of carbon dioxide equivalent (kg CO2e). </w:t>
      </w:r>
      <w:r w:rsidRPr="006A6CE3">
        <w:rPr>
          <w:rFonts w:cs="Arial"/>
          <w:szCs w:val="24"/>
        </w:rPr>
        <w:t>The factors are for products supplied for consumption in the UK. They also take account of the emissions relating to the production of products imported for intermediate consumption i.e. those products that are used by UK industries in the process of supplying products for consumption in the UK.  The estimates do not incorporate any allowance for emissions relating to the formation of capital assets, whether in the UK or overseas.</w:t>
      </w:r>
    </w:p>
    <w:p w:rsidR="00913351" w:rsidRPr="006A6CE3" w:rsidRDefault="00913351" w:rsidP="00E204D9">
      <w:pPr>
        <w:rPr>
          <w:rFonts w:cs="Arial"/>
        </w:rPr>
      </w:pPr>
      <w:r w:rsidRPr="006A6CE3">
        <w:rPr>
          <w:rFonts w:cs="Arial"/>
        </w:rPr>
        <w:t xml:space="preserve">The emission factors in the table are for broad categories of goods and services and are based on averages. So if you have data that is more representative of your particular purchases, you should use that data instead. The factors relate to 2009 and it is worth taking price changes since then into account. The categories are based upon the Standard Industrial Classification (SIC): further information on the SIC 2003 is available </w:t>
      </w:r>
      <w:hyperlink r:id="rId76" w:history="1">
        <w:r w:rsidRPr="006A6CE3">
          <w:rPr>
            <w:rStyle w:val="Hyperlink"/>
            <w:rFonts w:cs="Arial"/>
          </w:rPr>
          <w:t>here</w:t>
        </w:r>
      </w:hyperlink>
      <w:r w:rsidRPr="006A6CE3">
        <w:rPr>
          <w:rFonts w:cs="Arial"/>
        </w:rPr>
        <w:t xml:space="preserve">.  </w:t>
      </w:r>
    </w:p>
    <w:p w:rsidR="00913351" w:rsidRPr="006A6CE3" w:rsidRDefault="00913351" w:rsidP="00E204D9">
      <w:pPr>
        <w:rPr>
          <w:rFonts w:cs="Arial"/>
        </w:rPr>
      </w:pPr>
      <w:r w:rsidRPr="006A6CE3">
        <w:rPr>
          <w:rFonts w:cs="Arial"/>
        </w:rPr>
        <w:t xml:space="preserve">The factors for each of the six Kyoto gases included in the overall calculation are available by emailing: </w:t>
      </w:r>
      <w:hyperlink r:id="rId77" w:history="1">
        <w:r w:rsidRPr="006A6CE3">
          <w:rPr>
            <w:rStyle w:val="Hyperlink"/>
            <w:rFonts w:cs="Arial"/>
          </w:rPr>
          <w:t>Enviro.Statistics@defra.gsi.gov.uk</w:t>
        </w:r>
      </w:hyperlink>
    </w:p>
    <w:p w:rsidR="00913351" w:rsidRPr="006A6CE3" w:rsidRDefault="00913351" w:rsidP="00E204D9">
      <w:pPr>
        <w:rPr>
          <w:rFonts w:cs="Arial"/>
        </w:rPr>
      </w:pPr>
      <w:r w:rsidRPr="006A6CE3">
        <w:rPr>
          <w:rFonts w:cs="Arial"/>
        </w:rPr>
        <w:br w:type="page"/>
      </w:r>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1298"/>
        <w:gridCol w:w="783"/>
        <w:gridCol w:w="5341"/>
        <w:gridCol w:w="3462"/>
        <w:gridCol w:w="741"/>
        <w:gridCol w:w="741"/>
        <w:gridCol w:w="741"/>
        <w:gridCol w:w="741"/>
        <w:gridCol w:w="741"/>
        <w:gridCol w:w="741"/>
      </w:tblGrid>
      <w:tr w:rsidR="00C64465" w:rsidRPr="006A6CE3" w:rsidTr="00AA48B1">
        <w:trPr>
          <w:trHeight w:val="466"/>
        </w:trPr>
        <w:tc>
          <w:tcPr>
            <w:tcW w:w="0" w:type="auto"/>
            <w:gridSpan w:val="3"/>
            <w:shd w:val="clear" w:color="auto" w:fill="878800"/>
            <w:noWrap/>
            <w:hideMark/>
          </w:tcPr>
          <w:p w:rsidR="00913351" w:rsidRPr="006A6CE3" w:rsidRDefault="00913351" w:rsidP="00E204D9">
            <w:pPr>
              <w:pStyle w:val="NoSpacing"/>
              <w:rPr>
                <w:rFonts w:ascii="Arial" w:hAnsi="Arial" w:cs="Arial"/>
                <w:color w:val="FFFFFF"/>
                <w:lang w:eastAsia="en-GB"/>
              </w:rPr>
            </w:pPr>
            <w:r w:rsidRPr="006A6CE3">
              <w:rPr>
                <w:rFonts w:ascii="Arial" w:hAnsi="Arial" w:cs="Arial"/>
                <w:color w:val="FFFFFF"/>
                <w:lang w:eastAsia="en-GB"/>
              </w:rPr>
              <w:lastRenderedPageBreak/>
              <w:t>Supply chain emission factors for spending on products: kgCO</w:t>
            </w:r>
            <w:r w:rsidRPr="006A6CE3">
              <w:rPr>
                <w:rFonts w:ascii="Arial" w:hAnsi="Arial" w:cs="Arial"/>
                <w:color w:val="FFFFFF"/>
                <w:vertAlign w:val="subscript"/>
                <w:lang w:eastAsia="en-GB"/>
              </w:rPr>
              <w:t>2</w:t>
            </w:r>
            <w:r w:rsidRPr="006A6CE3">
              <w:rPr>
                <w:rFonts w:ascii="Arial" w:hAnsi="Arial" w:cs="Arial"/>
                <w:color w:val="FFFFFF"/>
                <w:lang w:eastAsia="en-GB"/>
              </w:rPr>
              <w:t>e per £</w:t>
            </w:r>
          </w:p>
        </w:tc>
        <w:tc>
          <w:tcPr>
            <w:tcW w:w="0" w:type="auto"/>
            <w:shd w:val="clear" w:color="auto" w:fill="878800"/>
          </w:tcPr>
          <w:p w:rsidR="00913351" w:rsidRPr="006A6CE3" w:rsidRDefault="00913351" w:rsidP="00E204D9">
            <w:pPr>
              <w:pStyle w:val="NoSpacing"/>
              <w:rPr>
                <w:rFonts w:ascii="Arial" w:hAnsi="Arial" w:cs="Arial"/>
                <w:color w:val="FFFFFF"/>
                <w:lang w:eastAsia="en-GB"/>
              </w:rPr>
            </w:pPr>
          </w:p>
        </w:tc>
        <w:tc>
          <w:tcPr>
            <w:tcW w:w="0" w:type="auto"/>
            <w:shd w:val="clear" w:color="auto" w:fill="878800"/>
          </w:tcPr>
          <w:p w:rsidR="00913351" w:rsidRPr="006A6CE3" w:rsidRDefault="00913351" w:rsidP="00E204D9">
            <w:pPr>
              <w:pStyle w:val="NoSpacing"/>
              <w:rPr>
                <w:rFonts w:ascii="Arial" w:hAnsi="Arial" w:cs="Arial"/>
                <w:color w:val="FFFFFF"/>
                <w:lang w:eastAsia="en-GB"/>
              </w:rPr>
            </w:pPr>
            <w:r w:rsidRPr="006A6CE3">
              <w:rPr>
                <w:rFonts w:ascii="Arial" w:hAnsi="Arial" w:cs="Arial"/>
                <w:color w:val="FFFFFF"/>
                <w:lang w:eastAsia="en-GB"/>
              </w:rPr>
              <w:t>2004</w:t>
            </w:r>
          </w:p>
        </w:tc>
        <w:tc>
          <w:tcPr>
            <w:tcW w:w="0" w:type="auto"/>
            <w:shd w:val="clear" w:color="auto" w:fill="878800"/>
          </w:tcPr>
          <w:p w:rsidR="00913351" w:rsidRPr="006A6CE3" w:rsidRDefault="00913351" w:rsidP="00E204D9">
            <w:pPr>
              <w:pStyle w:val="NoSpacing"/>
              <w:rPr>
                <w:rFonts w:ascii="Arial" w:hAnsi="Arial" w:cs="Arial"/>
                <w:color w:val="FFFFFF"/>
                <w:lang w:eastAsia="en-GB"/>
              </w:rPr>
            </w:pPr>
            <w:r w:rsidRPr="006A6CE3">
              <w:rPr>
                <w:rFonts w:ascii="Arial" w:hAnsi="Arial" w:cs="Arial"/>
                <w:color w:val="FFFFFF"/>
                <w:lang w:eastAsia="en-GB"/>
              </w:rPr>
              <w:t>2005</w:t>
            </w:r>
          </w:p>
        </w:tc>
        <w:tc>
          <w:tcPr>
            <w:tcW w:w="0" w:type="auto"/>
            <w:shd w:val="clear" w:color="auto" w:fill="878800"/>
          </w:tcPr>
          <w:p w:rsidR="00913351" w:rsidRPr="006A6CE3" w:rsidRDefault="00913351" w:rsidP="00E204D9">
            <w:pPr>
              <w:pStyle w:val="NoSpacing"/>
              <w:rPr>
                <w:rFonts w:ascii="Arial" w:hAnsi="Arial" w:cs="Arial"/>
                <w:color w:val="FFFFFF"/>
                <w:lang w:eastAsia="en-GB"/>
              </w:rPr>
            </w:pPr>
            <w:r w:rsidRPr="006A6CE3">
              <w:rPr>
                <w:rFonts w:ascii="Arial" w:hAnsi="Arial" w:cs="Arial"/>
                <w:color w:val="FFFFFF"/>
                <w:lang w:eastAsia="en-GB"/>
              </w:rPr>
              <w:t>2006</w:t>
            </w:r>
          </w:p>
        </w:tc>
        <w:tc>
          <w:tcPr>
            <w:tcW w:w="0" w:type="auto"/>
            <w:shd w:val="clear" w:color="auto" w:fill="878800"/>
          </w:tcPr>
          <w:p w:rsidR="00913351" w:rsidRPr="006A6CE3" w:rsidRDefault="00913351" w:rsidP="00E204D9">
            <w:pPr>
              <w:pStyle w:val="NoSpacing"/>
              <w:rPr>
                <w:rFonts w:ascii="Arial" w:hAnsi="Arial" w:cs="Arial"/>
                <w:color w:val="FFFFFF"/>
                <w:lang w:eastAsia="en-GB"/>
              </w:rPr>
            </w:pPr>
            <w:r w:rsidRPr="006A6CE3">
              <w:rPr>
                <w:rFonts w:ascii="Arial" w:hAnsi="Arial" w:cs="Arial"/>
                <w:color w:val="FFFFFF"/>
                <w:lang w:eastAsia="en-GB"/>
              </w:rPr>
              <w:t>2007</w:t>
            </w:r>
          </w:p>
        </w:tc>
        <w:tc>
          <w:tcPr>
            <w:tcW w:w="0" w:type="auto"/>
            <w:shd w:val="clear" w:color="auto" w:fill="878800"/>
          </w:tcPr>
          <w:p w:rsidR="00913351" w:rsidRPr="006A6CE3" w:rsidRDefault="00913351" w:rsidP="00E204D9">
            <w:pPr>
              <w:pStyle w:val="NoSpacing"/>
              <w:rPr>
                <w:rFonts w:ascii="Arial" w:hAnsi="Arial" w:cs="Arial"/>
                <w:color w:val="FFFFFF"/>
                <w:lang w:eastAsia="en-GB"/>
              </w:rPr>
            </w:pPr>
            <w:r w:rsidRPr="006A6CE3">
              <w:rPr>
                <w:rFonts w:ascii="Arial" w:hAnsi="Arial" w:cs="Arial"/>
                <w:color w:val="FFFFFF"/>
                <w:lang w:eastAsia="en-GB"/>
              </w:rPr>
              <w:t>2008</w:t>
            </w:r>
          </w:p>
        </w:tc>
        <w:tc>
          <w:tcPr>
            <w:tcW w:w="0" w:type="auto"/>
            <w:shd w:val="clear" w:color="auto" w:fill="878800"/>
          </w:tcPr>
          <w:p w:rsidR="00913351" w:rsidRPr="006A6CE3" w:rsidRDefault="00913351" w:rsidP="00E204D9">
            <w:pPr>
              <w:pStyle w:val="NoSpacing"/>
              <w:rPr>
                <w:rFonts w:ascii="Arial" w:hAnsi="Arial" w:cs="Arial"/>
                <w:color w:val="FFFFFF"/>
                <w:lang w:eastAsia="en-GB"/>
              </w:rPr>
            </w:pPr>
          </w:p>
        </w:tc>
      </w:tr>
      <w:tr w:rsidR="00C64465" w:rsidRPr="006A6CE3" w:rsidTr="00AA48B1">
        <w:trPr>
          <w:trHeight w:val="1667"/>
        </w:trPr>
        <w:tc>
          <w:tcPr>
            <w:tcW w:w="0" w:type="auto"/>
            <w:shd w:val="clear" w:color="auto" w:fill="FFFFFF"/>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SIC code (SIC 2003)</w:t>
            </w:r>
          </w:p>
        </w:tc>
        <w:tc>
          <w:tcPr>
            <w:tcW w:w="0" w:type="auto"/>
            <w:shd w:val="clear" w:color="auto" w:fill="auto"/>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Code</w:t>
            </w:r>
          </w:p>
        </w:tc>
        <w:tc>
          <w:tcPr>
            <w:tcW w:w="0" w:type="auto"/>
            <w:shd w:val="clear" w:color="auto" w:fill="auto"/>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Product category</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Category description</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Total kg CO</w:t>
            </w:r>
            <w:r w:rsidRPr="006A6CE3">
              <w:rPr>
                <w:rFonts w:ascii="Arial" w:hAnsi="Arial" w:cs="Arial"/>
                <w:vertAlign w:val="subscript"/>
                <w:lang w:bidi="en-US"/>
              </w:rPr>
              <w:t>2</w:t>
            </w:r>
            <w:r w:rsidRPr="006A6CE3">
              <w:rPr>
                <w:rFonts w:ascii="Arial" w:hAnsi="Arial" w:cs="Arial"/>
                <w:lang w:bidi="en-US"/>
              </w:rPr>
              <w:t>e per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Total kg CO</w:t>
            </w:r>
            <w:r w:rsidRPr="006A6CE3">
              <w:rPr>
                <w:rFonts w:ascii="Arial" w:hAnsi="Arial" w:cs="Arial"/>
                <w:vertAlign w:val="subscript"/>
                <w:lang w:bidi="en-US"/>
              </w:rPr>
              <w:t>2</w:t>
            </w:r>
            <w:r w:rsidRPr="006A6CE3">
              <w:rPr>
                <w:rFonts w:ascii="Arial" w:hAnsi="Arial" w:cs="Arial"/>
                <w:lang w:bidi="en-US"/>
              </w:rPr>
              <w:t>e per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Total kg CO</w:t>
            </w:r>
            <w:r w:rsidRPr="006A6CE3">
              <w:rPr>
                <w:rFonts w:ascii="Arial" w:hAnsi="Arial" w:cs="Arial"/>
                <w:vertAlign w:val="subscript"/>
                <w:lang w:bidi="en-US"/>
              </w:rPr>
              <w:t>2</w:t>
            </w:r>
            <w:r w:rsidRPr="006A6CE3">
              <w:rPr>
                <w:rFonts w:ascii="Arial" w:hAnsi="Arial" w:cs="Arial"/>
                <w:lang w:bidi="en-US"/>
              </w:rPr>
              <w:t>e per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Total kg CO</w:t>
            </w:r>
            <w:r w:rsidRPr="006A6CE3">
              <w:rPr>
                <w:rFonts w:ascii="Arial" w:hAnsi="Arial" w:cs="Arial"/>
                <w:vertAlign w:val="subscript"/>
                <w:lang w:bidi="en-US"/>
              </w:rPr>
              <w:t>2</w:t>
            </w:r>
            <w:r w:rsidRPr="006A6CE3">
              <w:rPr>
                <w:rFonts w:ascii="Arial" w:hAnsi="Arial" w:cs="Arial"/>
                <w:lang w:bidi="en-US"/>
              </w:rPr>
              <w:t>e per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Total kg CO</w:t>
            </w:r>
            <w:r w:rsidRPr="006A6CE3">
              <w:rPr>
                <w:rFonts w:ascii="Arial" w:hAnsi="Arial" w:cs="Arial"/>
                <w:vertAlign w:val="subscript"/>
                <w:lang w:bidi="en-US"/>
              </w:rPr>
              <w:t>2</w:t>
            </w:r>
            <w:r w:rsidRPr="006A6CE3">
              <w:rPr>
                <w:rFonts w:ascii="Arial" w:hAnsi="Arial" w:cs="Arial"/>
                <w:lang w:bidi="en-US"/>
              </w:rPr>
              <w:t>e per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Total kg CO</w:t>
            </w:r>
            <w:r w:rsidRPr="006A6CE3">
              <w:rPr>
                <w:rFonts w:ascii="Arial" w:hAnsi="Arial" w:cs="Arial"/>
                <w:vertAlign w:val="subscript"/>
                <w:lang w:bidi="en-US"/>
              </w:rPr>
              <w:t>2</w:t>
            </w:r>
            <w:r w:rsidRPr="006A6CE3">
              <w:rPr>
                <w:rFonts w:ascii="Arial" w:hAnsi="Arial" w:cs="Arial"/>
                <w:lang w:bidi="en-US"/>
              </w:rPr>
              <w:t>e per £</w:t>
            </w:r>
          </w:p>
        </w:tc>
      </w:tr>
      <w:tr w:rsidR="00C64465" w:rsidRPr="006A6CE3" w:rsidTr="00AA48B1">
        <w:trPr>
          <w:trHeight w:val="417"/>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01</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UK-1</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Agriculture products</w:t>
            </w:r>
            <w:r w:rsidRPr="006A6CE3">
              <w:rPr>
                <w:rFonts w:ascii="Arial" w:hAnsi="Arial" w:cs="Arial"/>
                <w:vertAlign w:val="superscript"/>
                <w:lang w:eastAsia="en-GB"/>
              </w:rPr>
              <w:t>2</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Products of agriculture, horticulture, including living plants, unmanufactured tobacco; live animals and animal products</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3.53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3.53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3.29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2.95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2.55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2.68 </w:t>
            </w:r>
          </w:p>
        </w:tc>
      </w:tr>
      <w:tr w:rsidR="00C64465" w:rsidRPr="006A6CE3" w:rsidTr="00AA48B1">
        <w:trPr>
          <w:trHeight w:val="417"/>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02</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UK-2</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Forestry products</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Wood in the rough, other forestry products</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0.61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0.59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0.56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0.54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0.40 </w:t>
            </w:r>
          </w:p>
        </w:tc>
      </w:tr>
      <w:tr w:rsidR="00C64465" w:rsidRPr="006A6CE3" w:rsidTr="00AA48B1">
        <w:trPr>
          <w:trHeight w:val="417"/>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05</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UK-3</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Fish products</w:t>
            </w:r>
            <w:r w:rsidRPr="006A6CE3">
              <w:rPr>
                <w:rFonts w:ascii="Arial" w:hAnsi="Arial" w:cs="Arial"/>
                <w:vertAlign w:val="superscript"/>
                <w:lang w:eastAsia="en-GB"/>
              </w:rPr>
              <w:t>2</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Aquatic animals, live, fresh or chilled, not prepared for consumption</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1.29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1.22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1.27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1.15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1.01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0.72 </w:t>
            </w:r>
          </w:p>
        </w:tc>
      </w:tr>
      <w:tr w:rsidR="00C64465" w:rsidRPr="006A6CE3" w:rsidTr="00AA48B1">
        <w:trPr>
          <w:trHeight w:val="417"/>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10</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UK-4</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Coal, lignite, peat</w:t>
            </w:r>
            <w:r w:rsidRPr="006A6CE3">
              <w:rPr>
                <w:rFonts w:ascii="Arial" w:hAnsi="Arial" w:cs="Arial"/>
                <w:vertAlign w:val="superscript"/>
                <w:lang w:eastAsia="en-GB"/>
              </w:rPr>
              <w:t>3</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6.21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5.83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8.74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7.17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7.14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6.13 </w:t>
            </w:r>
          </w:p>
        </w:tc>
      </w:tr>
      <w:tr w:rsidR="00C64465" w:rsidRPr="006A6CE3" w:rsidTr="00AA48B1">
        <w:trPr>
          <w:trHeight w:val="417"/>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11</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UK-5</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Crude petroleum, natural gas</w:t>
            </w:r>
            <w:r w:rsidRPr="006A6CE3">
              <w:rPr>
                <w:rFonts w:ascii="Arial" w:hAnsi="Arial" w:cs="Arial"/>
                <w:vertAlign w:val="superscript"/>
                <w:lang w:eastAsia="en-GB"/>
              </w:rPr>
              <w:t>3</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1.33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1.11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0.93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0.92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0.81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0.72 </w:t>
            </w:r>
          </w:p>
        </w:tc>
      </w:tr>
      <w:tr w:rsidR="00C64465" w:rsidRPr="006A6CE3" w:rsidTr="00AA48B1">
        <w:trPr>
          <w:trHeight w:val="417"/>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13</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UK-6</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 xml:space="preserve">Metal ores </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1.00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1.18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1.27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1.23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1.23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n/a </w:t>
            </w:r>
          </w:p>
        </w:tc>
      </w:tr>
      <w:tr w:rsidR="00C64465" w:rsidRPr="006A6CE3" w:rsidTr="00AA48B1">
        <w:trPr>
          <w:trHeight w:val="417"/>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14</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UK-7</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Stone, sand and clay, other minerals</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1.57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1.42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1.36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1.32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1.32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1.08 </w:t>
            </w:r>
          </w:p>
        </w:tc>
      </w:tr>
      <w:tr w:rsidR="00C64465" w:rsidRPr="006A6CE3" w:rsidTr="00AA48B1">
        <w:trPr>
          <w:trHeight w:val="417"/>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15</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UK-8</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Food and drink products</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Prepared meat, fish, fruit, vegetables etc</w:t>
            </w:r>
            <w:r w:rsidR="009C72E8">
              <w:rPr>
                <w:rFonts w:ascii="Arial" w:hAnsi="Arial" w:cs="Arial"/>
                <w:lang w:eastAsia="en-GB"/>
              </w:rPr>
              <w:t>.</w:t>
            </w:r>
            <w:r w:rsidRPr="006A6CE3">
              <w:rPr>
                <w:rFonts w:ascii="Arial" w:hAnsi="Arial" w:cs="Arial"/>
                <w:lang w:eastAsia="en-GB"/>
              </w:rPr>
              <w:t>; dairy products; beverages; oils and fats</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1.30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1.28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1.23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1.14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1.08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0.97 </w:t>
            </w:r>
          </w:p>
        </w:tc>
      </w:tr>
      <w:tr w:rsidR="00C64465" w:rsidRPr="006A6CE3" w:rsidTr="00AA48B1">
        <w:trPr>
          <w:trHeight w:val="417"/>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16</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UK-9</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Tobacco products</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0.17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0.17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0.16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0.16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0.14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0.13 </w:t>
            </w:r>
          </w:p>
        </w:tc>
      </w:tr>
      <w:tr w:rsidR="00C64465" w:rsidRPr="006A6CE3" w:rsidTr="00AA48B1">
        <w:trPr>
          <w:trHeight w:val="417"/>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17</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UK-10</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Textiles</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Preparation &amp; spinning of textile fibres, textile weaving, finishing of textiles &amp; wearing</w:t>
            </w:r>
          </w:p>
          <w:p w:rsidR="00913351" w:rsidRPr="006A6CE3" w:rsidRDefault="00913351" w:rsidP="00E204D9">
            <w:pPr>
              <w:pStyle w:val="NoSpacing"/>
              <w:rPr>
                <w:rFonts w:ascii="Arial" w:hAnsi="Arial" w:cs="Arial"/>
                <w:lang w:eastAsia="en-GB"/>
              </w:rPr>
            </w:pPr>
            <w:r w:rsidRPr="006A6CE3">
              <w:rPr>
                <w:rFonts w:ascii="Arial" w:hAnsi="Arial" w:cs="Arial"/>
                <w:lang w:eastAsia="en-GB"/>
              </w:rPr>
              <w:lastRenderedPageBreak/>
              <w:t>apparel, manufacture of made-up textile articles, except apparel</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lastRenderedPageBreak/>
              <w:t xml:space="preserve">           0.43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0.38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0.32 </w:t>
            </w:r>
          </w:p>
        </w:tc>
      </w:tr>
      <w:tr w:rsidR="00C64465" w:rsidRPr="006A6CE3" w:rsidTr="00AA48B1">
        <w:trPr>
          <w:trHeight w:val="417"/>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lastRenderedPageBreak/>
              <w:t>18</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UK-11</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Wearing apparel</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0.38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0.30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0.28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0.29 </w:t>
            </w:r>
          </w:p>
        </w:tc>
      </w:tr>
      <w:tr w:rsidR="00C64465" w:rsidRPr="006A6CE3" w:rsidTr="00AA48B1">
        <w:trPr>
          <w:trHeight w:val="417"/>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19</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UK-12</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Leather products</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Includes footwear and imitation leathers or leather substitutes, such as rubber footwear, textile luggage</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0.40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0.38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0.38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0.38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0.30 </w:t>
            </w:r>
          </w:p>
        </w:tc>
      </w:tr>
      <w:tr w:rsidR="00C64465" w:rsidRPr="006A6CE3" w:rsidTr="00AA48B1">
        <w:trPr>
          <w:trHeight w:val="417"/>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20</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UK-13</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Wood and wood products</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Manufacture of wood and of products of wood and cork, except furniture; manufacture of articles of</w:t>
            </w:r>
          </w:p>
          <w:p w:rsidR="00913351" w:rsidRPr="006A6CE3" w:rsidRDefault="00913351" w:rsidP="00E204D9">
            <w:pPr>
              <w:pStyle w:val="NoSpacing"/>
              <w:rPr>
                <w:rFonts w:ascii="Arial" w:hAnsi="Arial" w:cs="Arial"/>
                <w:lang w:eastAsia="en-GB"/>
              </w:rPr>
            </w:pPr>
            <w:r w:rsidRPr="006A6CE3">
              <w:rPr>
                <w:rFonts w:ascii="Arial" w:hAnsi="Arial" w:cs="Arial"/>
                <w:lang w:eastAsia="en-GB"/>
              </w:rPr>
              <w:t>straw and plaiting materials</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1.12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1.00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0.97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0.95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0.90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0.80 </w:t>
            </w:r>
          </w:p>
        </w:tc>
      </w:tr>
      <w:tr w:rsidR="00C64465" w:rsidRPr="006A6CE3" w:rsidTr="00AA48B1">
        <w:trPr>
          <w:trHeight w:val="417"/>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21</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UK-14</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Pulp and paper products</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0.85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0.80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0.77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0.73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0.72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0.78 </w:t>
            </w:r>
          </w:p>
        </w:tc>
      </w:tr>
      <w:tr w:rsidR="00C64465" w:rsidRPr="006A6CE3" w:rsidTr="00AA48B1">
        <w:trPr>
          <w:trHeight w:val="417"/>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22</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UK-15</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Printing and publishing</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0.40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0.39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0.38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0.36 </w:t>
            </w:r>
          </w:p>
        </w:tc>
      </w:tr>
      <w:tr w:rsidR="00C64465" w:rsidRPr="006A6CE3" w:rsidTr="00AA48B1">
        <w:trPr>
          <w:trHeight w:val="417"/>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23</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UK-16</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Refined petroleum and other fuels</w:t>
            </w:r>
            <w:r w:rsidRPr="006A6CE3">
              <w:rPr>
                <w:rFonts w:ascii="Arial" w:hAnsi="Arial" w:cs="Arial"/>
                <w:vertAlign w:val="superscript"/>
                <w:lang w:eastAsia="en-GB"/>
              </w:rPr>
              <w:t>3</w:t>
            </w:r>
          </w:p>
        </w:tc>
        <w:tc>
          <w:tcPr>
            <w:tcW w:w="0" w:type="auto"/>
            <w:shd w:val="clear" w:color="auto" w:fill="auto"/>
          </w:tcPr>
          <w:p w:rsidR="00913351" w:rsidRPr="006A6CE3" w:rsidRDefault="00913351" w:rsidP="009C72E8">
            <w:pPr>
              <w:pStyle w:val="NoSpacing"/>
              <w:rPr>
                <w:rFonts w:ascii="Arial" w:hAnsi="Arial" w:cs="Arial"/>
                <w:lang w:eastAsia="en-GB"/>
              </w:rPr>
            </w:pPr>
            <w:r w:rsidRPr="006A6CE3">
              <w:rPr>
                <w:rFonts w:ascii="Arial" w:hAnsi="Arial" w:cs="Arial"/>
                <w:lang w:eastAsia="en-GB"/>
              </w:rPr>
              <w:t>Fuel oil and gas; lubricating oils. Petroleum gases and other gaseous hydrocarbons, except natural gas. Waste oil. Radioactive elements, isotopes and compounds; radioactive residues.  Fuel elements (cartridges), non-irradiated, for nuclear reactors.  Coke oven prods.</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1.23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1.24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1.17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1.20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1.19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1.06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24.11,24.12</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UK-17</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Industrial gases and dyes</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Industrial gases, dyes, pigments.</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1.59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1.63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1.53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1.42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1.36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1.06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24.13</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UK-18</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Inorganic chemicals</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 xml:space="preserve">Chemical elements </w:t>
            </w:r>
            <w:proofErr w:type="spellStart"/>
            <w:r w:rsidRPr="006A6CE3">
              <w:rPr>
                <w:rFonts w:ascii="Arial" w:hAnsi="Arial" w:cs="Arial"/>
                <w:lang w:eastAsia="en-GB"/>
              </w:rPr>
              <w:t>n.e.c</w:t>
            </w:r>
            <w:proofErr w:type="spellEnd"/>
            <w:r w:rsidRPr="006A6CE3">
              <w:rPr>
                <w:rFonts w:ascii="Arial" w:hAnsi="Arial" w:cs="Arial"/>
                <w:lang w:eastAsia="en-GB"/>
              </w:rPr>
              <w:t xml:space="preserve">.; inorganic acids and compounds. Metallic halogenates; </w:t>
            </w:r>
            <w:proofErr w:type="spellStart"/>
            <w:r w:rsidRPr="006A6CE3">
              <w:rPr>
                <w:rFonts w:ascii="Arial" w:hAnsi="Arial" w:cs="Arial"/>
                <w:lang w:eastAsia="en-GB"/>
              </w:rPr>
              <w:t>hypochlorites</w:t>
            </w:r>
            <w:proofErr w:type="spellEnd"/>
            <w:r w:rsidRPr="006A6CE3">
              <w:rPr>
                <w:rFonts w:ascii="Arial" w:hAnsi="Arial" w:cs="Arial"/>
                <w:lang w:eastAsia="en-GB"/>
              </w:rPr>
              <w:t>, chlorates and perchlorates.</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1.32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1.31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1.22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1.15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1.13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1.36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24.14</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UK-19</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Organic chemicals</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 xml:space="preserve">Hydrocarbons/derivatives. Alcohols, phenols, phenol-alcohols and halogenated/ </w:t>
            </w:r>
            <w:proofErr w:type="spellStart"/>
            <w:r w:rsidRPr="006A6CE3">
              <w:rPr>
                <w:rFonts w:ascii="Arial" w:hAnsi="Arial" w:cs="Arial"/>
                <w:lang w:eastAsia="en-GB"/>
              </w:rPr>
              <w:t>sulphonated</w:t>
            </w:r>
            <w:proofErr w:type="spellEnd"/>
            <w:r w:rsidRPr="006A6CE3">
              <w:rPr>
                <w:rFonts w:ascii="Arial" w:hAnsi="Arial" w:cs="Arial"/>
                <w:lang w:eastAsia="en-GB"/>
              </w:rPr>
              <w:t xml:space="preserve">/nitrated/ </w:t>
            </w:r>
            <w:proofErr w:type="spellStart"/>
            <w:r w:rsidRPr="006A6CE3">
              <w:rPr>
                <w:rFonts w:ascii="Arial" w:hAnsi="Arial" w:cs="Arial"/>
                <w:lang w:eastAsia="en-GB"/>
              </w:rPr>
              <w:t>nitrosated</w:t>
            </w:r>
            <w:proofErr w:type="spellEnd"/>
            <w:r w:rsidRPr="006A6CE3">
              <w:rPr>
                <w:rFonts w:ascii="Arial" w:hAnsi="Arial" w:cs="Arial"/>
                <w:lang w:eastAsia="en-GB"/>
              </w:rPr>
              <w:t xml:space="preserve"> derivatives; industrial fatty alcohols. Industrial monocarboxylic fatty acids; carboxylic acids&amp; </w:t>
            </w:r>
            <w:r w:rsidRPr="006A6CE3">
              <w:rPr>
                <w:rFonts w:ascii="Arial" w:hAnsi="Arial" w:cs="Arial"/>
                <w:lang w:eastAsia="en-GB"/>
              </w:rPr>
              <w:lastRenderedPageBreak/>
              <w:t xml:space="preserve">derivatives. Organic compounds with nitrogen functions. </w:t>
            </w:r>
            <w:proofErr w:type="spellStart"/>
            <w:r w:rsidRPr="006A6CE3">
              <w:rPr>
                <w:rFonts w:ascii="Arial" w:hAnsi="Arial" w:cs="Arial"/>
                <w:lang w:eastAsia="en-GB"/>
              </w:rPr>
              <w:t>Organo</w:t>
            </w:r>
            <w:proofErr w:type="spellEnd"/>
            <w:r w:rsidRPr="006A6CE3">
              <w:rPr>
                <w:rFonts w:ascii="Arial" w:hAnsi="Arial" w:cs="Arial"/>
                <w:lang w:eastAsia="en-GB"/>
              </w:rPr>
              <w:t xml:space="preserve">-sulphur compounds and other </w:t>
            </w:r>
            <w:proofErr w:type="spellStart"/>
            <w:r w:rsidRPr="006A6CE3">
              <w:rPr>
                <w:rFonts w:ascii="Arial" w:hAnsi="Arial" w:cs="Arial"/>
                <w:lang w:eastAsia="en-GB"/>
              </w:rPr>
              <w:t>organo</w:t>
            </w:r>
            <w:proofErr w:type="spellEnd"/>
            <w:r w:rsidRPr="006A6CE3">
              <w:rPr>
                <w:rFonts w:ascii="Arial" w:hAnsi="Arial" w:cs="Arial"/>
                <w:lang w:eastAsia="en-GB"/>
              </w:rPr>
              <w:t xml:space="preserve">-inorganic compounds; heterocyclic compounds </w:t>
            </w:r>
            <w:proofErr w:type="spellStart"/>
            <w:r w:rsidRPr="006A6CE3">
              <w:rPr>
                <w:rFonts w:ascii="Arial" w:hAnsi="Arial" w:cs="Arial"/>
                <w:lang w:eastAsia="en-GB"/>
              </w:rPr>
              <w:t>n.e.c</w:t>
            </w:r>
            <w:proofErr w:type="spellEnd"/>
            <w:proofErr w:type="gramStart"/>
            <w:r w:rsidRPr="006A6CE3">
              <w:rPr>
                <w:rFonts w:ascii="Arial" w:hAnsi="Arial" w:cs="Arial"/>
                <w:lang w:eastAsia="en-GB"/>
              </w:rPr>
              <w:t>..</w:t>
            </w:r>
            <w:proofErr w:type="gramEnd"/>
            <w:r w:rsidRPr="006A6CE3">
              <w:rPr>
                <w:rFonts w:ascii="Arial" w:hAnsi="Arial" w:cs="Arial"/>
                <w:lang w:eastAsia="en-GB"/>
              </w:rPr>
              <w:t xml:space="preserve"> Ethers, organic peroxides, epoxides, </w:t>
            </w:r>
            <w:proofErr w:type="spellStart"/>
            <w:r w:rsidRPr="006A6CE3">
              <w:rPr>
                <w:rFonts w:ascii="Arial" w:hAnsi="Arial" w:cs="Arial"/>
                <w:lang w:eastAsia="en-GB"/>
              </w:rPr>
              <w:t>acetals</w:t>
            </w:r>
            <w:proofErr w:type="spellEnd"/>
            <w:r w:rsidRPr="006A6CE3">
              <w:rPr>
                <w:rFonts w:ascii="Arial" w:hAnsi="Arial" w:cs="Arial"/>
                <w:lang w:eastAsia="en-GB"/>
              </w:rPr>
              <w:t xml:space="preserve"> and </w:t>
            </w:r>
            <w:proofErr w:type="spellStart"/>
            <w:r w:rsidRPr="006A6CE3">
              <w:rPr>
                <w:rFonts w:ascii="Arial" w:hAnsi="Arial" w:cs="Arial"/>
                <w:lang w:eastAsia="en-GB"/>
              </w:rPr>
              <w:t>hemiacetals</w:t>
            </w:r>
            <w:proofErr w:type="spellEnd"/>
            <w:r w:rsidRPr="006A6CE3">
              <w:rPr>
                <w:rFonts w:ascii="Arial" w:hAnsi="Arial" w:cs="Arial"/>
                <w:lang w:eastAsia="en-GB"/>
              </w:rPr>
              <w:t>; other organic compounds.</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lastRenderedPageBreak/>
              <w:t xml:space="preserve">           1.85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1.53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1.38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1.34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1.27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1.06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lastRenderedPageBreak/>
              <w:t>24.15</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UK-20</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Fertilisers</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4.48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3.97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3.74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4.06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3.67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2.25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24.16,24.17</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UK-21</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 xml:space="preserve">Plastics &amp; synthetic resins </w:t>
            </w:r>
            <w:proofErr w:type="spellStart"/>
            <w:r w:rsidRPr="006A6CE3">
              <w:rPr>
                <w:rFonts w:ascii="Arial" w:hAnsi="Arial" w:cs="Arial"/>
                <w:lang w:eastAsia="en-GB"/>
              </w:rPr>
              <w:t>etc</w:t>
            </w:r>
            <w:proofErr w:type="spellEnd"/>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1.62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1.65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1.51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1.44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1.38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1.08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24.2</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UK-22</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Pesticides</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Pesticides and other agro-chemical products.</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1.27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1.21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1.12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1.08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1.01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0.97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24.3</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UK-23</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 xml:space="preserve">Paints, varnishes, printing ink </w:t>
            </w:r>
            <w:proofErr w:type="spellStart"/>
            <w:r w:rsidRPr="006A6CE3">
              <w:rPr>
                <w:rFonts w:ascii="Arial" w:hAnsi="Arial" w:cs="Arial"/>
                <w:lang w:eastAsia="en-GB"/>
              </w:rPr>
              <w:t>etc</w:t>
            </w:r>
            <w:proofErr w:type="spellEnd"/>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0.67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0.65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0.63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0.60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0.58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0.50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24.4</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UK-24</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Pharmaceuticals</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Basic pharmaceutical products. Pharmaceutical preparations.</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0.71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0.66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0.59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0.59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0.52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0.43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24.5</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UK-25</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Soap and toilet preparations</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0.40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0.39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0.39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0.33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24.6</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UK-26</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Other chemical products</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 xml:space="preserve">Explosives, glues, gelatines, essential oils, photo chemicals, others </w:t>
            </w:r>
            <w:proofErr w:type="spellStart"/>
            <w:r w:rsidRPr="006A6CE3">
              <w:rPr>
                <w:rFonts w:ascii="Arial" w:hAnsi="Arial" w:cs="Arial"/>
                <w:lang w:eastAsia="en-GB"/>
              </w:rPr>
              <w:t>nec</w:t>
            </w:r>
            <w:proofErr w:type="spellEnd"/>
            <w:r w:rsidRPr="006A6CE3">
              <w:rPr>
                <w:rFonts w:ascii="Arial" w:hAnsi="Arial" w:cs="Arial"/>
                <w:lang w:eastAsia="en-GB"/>
              </w:rPr>
              <w:t>.</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1.05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1.04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0.96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0.92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0.92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0.76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24.7</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UK-27</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Man-made fibres</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Synthetic fibres. Cellulosic and other artificial fibres.  Waste of man-made fibres.</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2.08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1.80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2.07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2.13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2.13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1.54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25.1</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UK-28</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Rubber products</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1.03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1.05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0.92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0.96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0.86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0.67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25.2</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UK-29</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Plastic products</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1.23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1.22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1.16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1.13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1.09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0.85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26.1</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UK-30</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Glass and glass products</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1.53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1.42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1.28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1.26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1.23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1.25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lastRenderedPageBreak/>
              <w:t>26.2,26.3</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UK-31</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Ceramic goods</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Non-refractory ceramic goods other than for construction purposes; refractory ceramic products. Ceramic tiles and flags</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0.86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0.80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0.71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0.74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0.70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0.58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26.4</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UK-32</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Structural clay products</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Bricks, tiles and construction products, in baked clay</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1.23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1.31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1.23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1.17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1.21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1.68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26.5</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UK-33</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Cement, lime and plaster</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6.89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6.69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7.06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7.07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7.07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6.78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26.6-26.8</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UK-34</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 xml:space="preserve">Articles of concrete, stone </w:t>
            </w:r>
            <w:proofErr w:type="spellStart"/>
            <w:r w:rsidRPr="006A6CE3">
              <w:rPr>
                <w:rFonts w:ascii="Arial" w:hAnsi="Arial" w:cs="Arial"/>
                <w:lang w:eastAsia="en-GB"/>
              </w:rPr>
              <w:t>etc</w:t>
            </w:r>
            <w:proofErr w:type="spellEnd"/>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 xml:space="preserve">Articles of concrete, plaster and </w:t>
            </w:r>
            <w:proofErr w:type="gramStart"/>
            <w:r w:rsidRPr="006A6CE3">
              <w:rPr>
                <w:rFonts w:ascii="Arial" w:hAnsi="Arial" w:cs="Arial"/>
                <w:lang w:eastAsia="en-GB"/>
              </w:rPr>
              <w:t>cement .</w:t>
            </w:r>
            <w:proofErr w:type="gramEnd"/>
            <w:r w:rsidRPr="006A6CE3">
              <w:rPr>
                <w:rFonts w:ascii="Arial" w:hAnsi="Arial" w:cs="Arial"/>
                <w:lang w:eastAsia="en-GB"/>
              </w:rPr>
              <w:t xml:space="preserve"> Cut, shaped and finished ornamental and building stone and articles thereof. Other non-metallic mineral products</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1.62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1.53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1.57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1.46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1.40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1.21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27.1-27.3</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UK-35</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Iron and steel</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 xml:space="preserve">Basic iron and steel and </w:t>
            </w:r>
            <w:proofErr w:type="spellStart"/>
            <w:r w:rsidRPr="006A6CE3">
              <w:rPr>
                <w:rFonts w:ascii="Arial" w:hAnsi="Arial" w:cs="Arial"/>
                <w:lang w:eastAsia="en-GB"/>
              </w:rPr>
              <w:t>ferro</w:t>
            </w:r>
            <w:proofErr w:type="spellEnd"/>
            <w:r w:rsidRPr="006A6CE3">
              <w:rPr>
                <w:rFonts w:ascii="Arial" w:hAnsi="Arial" w:cs="Arial"/>
                <w:lang w:eastAsia="en-GB"/>
              </w:rPr>
              <w:t>-alloys. Tubes.</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3.86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3.49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3.44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3.44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3.31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2.97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27.4</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UK-36</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Non-ferrous metals</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Precious metals. Aluminium and aluminium products. Lead, zinc, tin and products thereof. Copper and Nickel prods.</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2.39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2.21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2.49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2.45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2.36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1.92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27.5</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UK-37</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Metal castings</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Foundry work services. Casting of iron, steel, light metals, other non-ferrous.</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1.63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1.55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1.55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1.50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1.40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1.12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28</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UK-38</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Metal products</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Structural metal products. Tanks, reservoirs and containers of metal; central heating radiators and boilers. Steam generators, except central heating hot water boilers. Forging, pressing, stamping and roll forming services of metal; powder metallurgy. Treatment and coating services of metal; general mechanical engineering services. Cutlery, tools and general hardware. Other fabricated prods.</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1.30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1.29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1.32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1.36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1.27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1.07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lastRenderedPageBreak/>
              <w:t>29</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UK-39</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Machinery and equipment</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Machinery for the production and use of mechanical power, except aircraft, vehicle and cycle engines. Agricultural and forestry machinery. Weapons. Machine tools. Other special purpose.</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0.84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0.82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0.81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0.82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0.79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0.70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30</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UK-40</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Office machinery and computers</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0.81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0.76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0.76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0.65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0.61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0.53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31</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UK-41</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Electrical machinery</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Electric motors, generators and transformers. Electricity distribution and control apparatus. Insulated wire and cable.  Accumulators, primary cells and primary batteries. Lighting equip.</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0.91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0.87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0.87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0.83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0.80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0.62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32</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UK-42</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Radio, television and communications</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0.48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0.38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0.48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33</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UK-43</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Medical and precision instruments</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Medical, precision and optical instruments; watches and clocks.</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0.57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0.55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0.54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0.30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34</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UK-44</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Motor vehicles manufacturing</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0.97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0.91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0.90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0.90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0.85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0.70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35</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UK-45</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Other transport equipment</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Ships, railway roll-stock, aircraft, spacecraft, motorcycles, cycles.</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0.73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0.73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0.67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0.66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0.60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0.59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36, 37</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UK-46</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Furniture, other manufactured goods, recycling services</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Furniture, musical, sports, games, secondary raw materials, shipbreaking.</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0.62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0.61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0.58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0.56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0.56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0.48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40.1</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UK-47</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Electricity production and distribution</w:t>
            </w:r>
            <w:r w:rsidRPr="006A6CE3">
              <w:rPr>
                <w:rFonts w:ascii="Arial" w:hAnsi="Arial" w:cs="Arial"/>
                <w:vertAlign w:val="superscript"/>
                <w:lang w:eastAsia="en-GB"/>
              </w:rPr>
              <w:t>3</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Production and distribution services of electricity.</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7.51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6.97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6.50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6.15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5.18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4.80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40.2,40.3</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UK-48</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Gas distribution</w:t>
            </w:r>
            <w:r w:rsidRPr="006A6CE3">
              <w:rPr>
                <w:rFonts w:ascii="Arial" w:hAnsi="Arial" w:cs="Arial"/>
                <w:vertAlign w:val="superscript"/>
                <w:lang w:eastAsia="en-GB"/>
              </w:rPr>
              <w:t>3</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Manufactured gas and distribution services of gaseous fuels through mains. Steam and hot water supply services.</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3.94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3.48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3.26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3.25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3.12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2.03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41</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UK-49</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Water Supply</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Collected and purified water; distribution services of water.</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0.82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0.74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0.71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0.65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0.56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0.44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lastRenderedPageBreak/>
              <w:t>45</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UK-50</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Construction</w:t>
            </w:r>
            <w:r w:rsidRPr="006A6CE3">
              <w:rPr>
                <w:rFonts w:ascii="Arial" w:hAnsi="Arial" w:cs="Arial"/>
                <w:vertAlign w:val="superscript"/>
                <w:lang w:eastAsia="en-GB"/>
              </w:rPr>
              <w:t>4</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0.62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0.59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0.56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0.53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0.53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0.49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50</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UK-51</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Motor vehicle distribution and repair, automotive fuel retail</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Trade, maintenance and repair services of motor vehicles and motorcycles; retail trade services of automotive fuel.</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1.03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0.95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0.90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0.92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0.85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0.77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51</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UK-52</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Wholesale distribution</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0.70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0.69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0.66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0.62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0.61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0.51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52</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UK-53</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Retail distribution</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0.49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0.39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0.38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55</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UK-54</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Hotels, catering, pubs etc</w:t>
            </w:r>
            <w:r w:rsidR="009C72E8">
              <w:rPr>
                <w:rFonts w:ascii="Arial" w:hAnsi="Arial" w:cs="Arial"/>
                <w:lang w:eastAsia="en-GB"/>
              </w:rPr>
              <w:t>.</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0.66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0.64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0.60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0.57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0.54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0.49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60.1</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UK-55</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Railway transport</w:t>
            </w:r>
            <w:r w:rsidRPr="006A6CE3">
              <w:rPr>
                <w:rFonts w:ascii="Arial" w:hAnsi="Arial" w:cs="Arial"/>
                <w:vertAlign w:val="superscript"/>
                <w:lang w:eastAsia="en-GB"/>
              </w:rPr>
              <w:t>5</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1.20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1.15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1.11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0.96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0.84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0.93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60.2</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UK-56</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Road transport</w:t>
            </w:r>
            <w:r w:rsidRPr="006A6CE3">
              <w:rPr>
                <w:rFonts w:ascii="Arial" w:hAnsi="Arial" w:cs="Arial"/>
                <w:vertAlign w:val="superscript"/>
                <w:lang w:eastAsia="en-GB"/>
              </w:rPr>
              <w:t>5</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1.25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1.23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1.19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1.15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1.14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0.95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61</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UK-57</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Water transport</w:t>
            </w:r>
            <w:r w:rsidRPr="006A6CE3">
              <w:rPr>
                <w:rFonts w:ascii="Arial" w:hAnsi="Arial" w:cs="Arial"/>
                <w:vertAlign w:val="superscript"/>
                <w:lang w:eastAsia="en-GB"/>
              </w:rPr>
              <w:t>5</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3.96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3.58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2.63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2.31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1.99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1.96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62</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UK-58</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Air transport</w:t>
            </w:r>
            <w:r w:rsidRPr="006A6CE3">
              <w:rPr>
                <w:rFonts w:ascii="Arial" w:hAnsi="Arial" w:cs="Arial"/>
                <w:vertAlign w:val="superscript"/>
                <w:lang w:eastAsia="en-GB"/>
              </w:rPr>
              <w:t>5</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3.44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3.50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3.37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3.16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2.91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2.86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63</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UK-59</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Ancillary transport services</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Trade, maintenance and repair services of motor vehicles and motorcycles; retail trade services of automotive fuel.</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0.38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0.32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64</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UK-60</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Post and telecommunications</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0.72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0.41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65</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UK-61</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Banking and finance</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0.25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0.23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0.21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0.19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0.16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0.15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66</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UK-62</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Insurance and pension funds</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0.38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0.28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67</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UK-63</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Auxiliary financial services</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Services auxiliary to financial intermediation, insurance and pension funding</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0.30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0.29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0.25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0.24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0.23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lastRenderedPageBreak/>
              <w:t>70</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UK-64</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Real estate activities</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0.14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0.13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0.12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0.11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0.11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0.12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71</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UK-65</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Renting of machinery etc</w:t>
            </w:r>
            <w:r w:rsidR="009C72E8">
              <w:rPr>
                <w:rFonts w:ascii="Arial" w:hAnsi="Arial" w:cs="Arial"/>
                <w:lang w:eastAsia="en-GB"/>
              </w:rPr>
              <w:t>.</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0.53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0.52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0.50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0.32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72</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UK-66</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Computer services</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0.29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0.28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0.28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0.26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0.24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0.20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73</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UK-67</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Research and development</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Research and experimental development services on natural and social sciences, humanities and engineering.</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0.66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0.63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0.58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0.55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0.52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0.30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74</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UK-68</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Legal, consultancy and other business activities</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Legal, accounting, book-keeping and auditing services; tax consultancy services; market research and public opinion polling services; business and management consultancy services; holdings services. Architectural, engineering and related. Technical testing and analysis. Advertising. Security. Recruitment &amp; HR. Industrial cleaning.</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0.24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0.22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0.21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0.19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0.17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0.17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75</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UK-69</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Public administration and defence</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0.53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0.48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0.39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80</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UK-70</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Education</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0.29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0.26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0.24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0.23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85</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UK-71</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Health and social work</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Human health. Veterinary services. Social work.</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0.51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0.48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0.40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0.38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0.34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90</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UK-72</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Sewage and refuse services</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Sewage and refuse disposal services, sanitation and similar services</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2.37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2.13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2.01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1.91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1.77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1.42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91</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UK-73</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Membership organisations</w:t>
            </w:r>
          </w:p>
        </w:tc>
        <w:tc>
          <w:tcPr>
            <w:tcW w:w="0" w:type="auto"/>
            <w:shd w:val="clear" w:color="auto" w:fill="auto"/>
          </w:tcPr>
          <w:p w:rsidR="00913351" w:rsidRPr="006A6CE3" w:rsidRDefault="00913351" w:rsidP="00E204D9">
            <w:pPr>
              <w:pStyle w:val="NoSpacing"/>
              <w:rPr>
                <w:rFonts w:ascii="Arial" w:hAnsi="Arial" w:cs="Arial"/>
                <w:lang w:eastAsia="en-GB"/>
              </w:rPr>
            </w:pP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0.25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0.23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0.20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0.19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0.17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0.15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92</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UK-74</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Recreational services</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 xml:space="preserve">Motion picture and video services. Radio and TV services. Library, </w:t>
            </w:r>
            <w:r w:rsidRPr="006A6CE3">
              <w:rPr>
                <w:rFonts w:ascii="Arial" w:hAnsi="Arial" w:cs="Arial"/>
                <w:lang w:eastAsia="en-GB"/>
              </w:rPr>
              <w:lastRenderedPageBreak/>
              <w:t>archives, museums and other cultural services. Sporting and other entertainment / recreational services.</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lastRenderedPageBreak/>
              <w:t xml:space="preserve">           0.39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0.36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0.31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0.29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0.28 </w:t>
            </w:r>
          </w:p>
        </w:tc>
      </w:tr>
      <w:tr w:rsidR="00C64465" w:rsidRPr="006A6CE3" w:rsidTr="00AA48B1">
        <w:trPr>
          <w:trHeight w:val="490"/>
        </w:trPr>
        <w:tc>
          <w:tcPr>
            <w:tcW w:w="0" w:type="auto"/>
            <w:shd w:val="clear" w:color="auto" w:fill="FFFFFF"/>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lastRenderedPageBreak/>
              <w:t>93</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UK-75</w:t>
            </w:r>
          </w:p>
        </w:tc>
        <w:tc>
          <w:tcPr>
            <w:tcW w:w="0" w:type="auto"/>
            <w:shd w:val="clear" w:color="auto" w:fill="auto"/>
            <w:noWrap/>
            <w:hideMark/>
          </w:tcPr>
          <w:p w:rsidR="00913351" w:rsidRPr="006A6CE3" w:rsidRDefault="00913351" w:rsidP="00E204D9">
            <w:pPr>
              <w:pStyle w:val="NoSpacing"/>
              <w:rPr>
                <w:rFonts w:ascii="Arial" w:hAnsi="Arial" w:cs="Arial"/>
                <w:lang w:eastAsia="en-GB"/>
              </w:rPr>
            </w:pPr>
            <w:r w:rsidRPr="006A6CE3">
              <w:rPr>
                <w:rFonts w:ascii="Arial" w:hAnsi="Arial" w:cs="Arial"/>
                <w:lang w:eastAsia="en-GB"/>
              </w:rPr>
              <w:t>Other service activities</w:t>
            </w:r>
          </w:p>
        </w:tc>
        <w:tc>
          <w:tcPr>
            <w:tcW w:w="0" w:type="auto"/>
            <w:shd w:val="clear" w:color="auto" w:fill="auto"/>
          </w:tcPr>
          <w:p w:rsidR="00913351" w:rsidRPr="006A6CE3" w:rsidRDefault="00913351" w:rsidP="00E204D9">
            <w:pPr>
              <w:pStyle w:val="NoSpacing"/>
              <w:rPr>
                <w:rFonts w:ascii="Arial" w:hAnsi="Arial" w:cs="Arial"/>
                <w:lang w:eastAsia="en-GB"/>
              </w:rPr>
            </w:pPr>
            <w:r w:rsidRPr="006A6CE3">
              <w:rPr>
                <w:rFonts w:ascii="Arial" w:hAnsi="Arial" w:cs="Arial"/>
                <w:lang w:eastAsia="en-GB"/>
              </w:rPr>
              <w:t>Washing and dry cleaning services. Hairdressing and other beauty treatment services. Funeral and related services. Physical wellbeing services.</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0.43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0.40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0.38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0.35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0.32 </w:t>
            </w:r>
          </w:p>
        </w:tc>
        <w:tc>
          <w:tcPr>
            <w:tcW w:w="0" w:type="auto"/>
            <w:shd w:val="clear" w:color="auto" w:fill="auto"/>
          </w:tcPr>
          <w:p w:rsidR="00913351" w:rsidRPr="006A6CE3" w:rsidRDefault="00913351" w:rsidP="00E204D9">
            <w:pPr>
              <w:pStyle w:val="NoSpacing"/>
              <w:rPr>
                <w:rFonts w:ascii="Arial" w:hAnsi="Arial" w:cs="Arial"/>
                <w:lang w:bidi="en-US"/>
              </w:rPr>
            </w:pPr>
            <w:r w:rsidRPr="006A6CE3">
              <w:rPr>
                <w:rFonts w:ascii="Arial" w:hAnsi="Arial" w:cs="Arial"/>
                <w:lang w:bidi="en-US"/>
              </w:rPr>
              <w:t xml:space="preserve">           0.31 </w:t>
            </w:r>
          </w:p>
        </w:tc>
      </w:tr>
    </w:tbl>
    <w:p w:rsidR="00913351" w:rsidRPr="006A6CE3" w:rsidRDefault="00913351" w:rsidP="00E204D9">
      <w:pPr>
        <w:rPr>
          <w:rFonts w:cs="Arial"/>
        </w:rPr>
      </w:pPr>
      <w:proofErr w:type="gramStart"/>
      <w:r w:rsidRPr="006A6CE3">
        <w:rPr>
          <w:rFonts w:cs="Arial"/>
        </w:rPr>
        <w:t>Calculated by Centre for Sustainability Accounting (</w:t>
      </w:r>
      <w:proofErr w:type="spellStart"/>
      <w:r w:rsidR="00A54A9D">
        <w:fldChar w:fldCharType="begin"/>
      </w:r>
      <w:r w:rsidR="00A54A9D">
        <w:instrText xml:space="preserve"> HYPERLINK "http://www.censa.org.uk" </w:instrText>
      </w:r>
      <w:r w:rsidR="00A54A9D">
        <w:fldChar w:fldCharType="separate"/>
      </w:r>
      <w:r w:rsidRPr="006A6CE3">
        <w:rPr>
          <w:rStyle w:val="Hyperlink"/>
          <w:rFonts w:cs="Arial"/>
        </w:rPr>
        <w:t>CenSA</w:t>
      </w:r>
      <w:proofErr w:type="spellEnd"/>
      <w:r w:rsidR="00A54A9D">
        <w:rPr>
          <w:rStyle w:val="Hyperlink"/>
          <w:rFonts w:cs="Arial"/>
        </w:rPr>
        <w:fldChar w:fldCharType="end"/>
      </w:r>
      <w:r w:rsidRPr="006A6CE3">
        <w:rPr>
          <w:rFonts w:cs="Arial"/>
        </w:rPr>
        <w:t>), Leeds, UK.</w:t>
      </w:r>
      <w:proofErr w:type="gramEnd"/>
    </w:p>
    <w:p w:rsidR="00913351" w:rsidRPr="006A6CE3" w:rsidRDefault="00913351" w:rsidP="00E204D9">
      <w:pPr>
        <w:pStyle w:val="NoSpacing"/>
        <w:rPr>
          <w:rFonts w:ascii="Arial" w:hAnsi="Arial" w:cs="Arial"/>
        </w:rPr>
      </w:pPr>
      <w:r w:rsidRPr="006A6CE3">
        <w:rPr>
          <w:rFonts w:ascii="Arial" w:hAnsi="Arial" w:cs="Arial"/>
        </w:rPr>
        <w:t>Footnotes</w:t>
      </w:r>
    </w:p>
    <w:p w:rsidR="00913351" w:rsidRPr="006A6CE3" w:rsidRDefault="00913351" w:rsidP="00E204D9">
      <w:pPr>
        <w:pStyle w:val="NoSpacing"/>
        <w:rPr>
          <w:rFonts w:ascii="Arial" w:hAnsi="Arial" w:cs="Arial"/>
        </w:rPr>
      </w:pPr>
      <w:r w:rsidRPr="006A6CE3">
        <w:rPr>
          <w:rFonts w:ascii="Arial" w:hAnsi="Arial" w:cs="Arial"/>
        </w:rPr>
        <w:t xml:space="preserve">1. Agricultural and fish products are those bought direct from farmers or the fisheries industry.  Where products have been prepared for consumption they should be treated as products from the food and drink manufacturing industry (UK-8 in the above table). </w:t>
      </w:r>
    </w:p>
    <w:p w:rsidR="00913351" w:rsidRPr="006A6CE3" w:rsidRDefault="003D08E1" w:rsidP="00E204D9">
      <w:pPr>
        <w:pStyle w:val="NoSpacing"/>
        <w:rPr>
          <w:rFonts w:ascii="Arial" w:hAnsi="Arial" w:cs="Arial"/>
        </w:rPr>
      </w:pPr>
      <w:r w:rsidRPr="006A6CE3">
        <w:rPr>
          <w:rFonts w:ascii="Arial" w:hAnsi="Arial" w:cs="Arial"/>
        </w:rPr>
        <w:t>2. These</w:t>
      </w:r>
      <w:r w:rsidR="00913351" w:rsidRPr="006A6CE3">
        <w:rPr>
          <w:rFonts w:ascii="Arial" w:hAnsi="Arial" w:cs="Arial"/>
        </w:rPr>
        <w:t xml:space="preserve"> emissions relate to the activities of the industries engaged in the extraction of energy carriers.  Where fuels are processed before use then the factors identified by footnote 3 should be used.</w:t>
      </w:r>
    </w:p>
    <w:p w:rsidR="00913351" w:rsidRPr="006A6CE3" w:rsidRDefault="00913351" w:rsidP="00E204D9">
      <w:pPr>
        <w:pStyle w:val="NoSpacing"/>
        <w:rPr>
          <w:rFonts w:ascii="Arial" w:hAnsi="Arial" w:cs="Arial"/>
        </w:rPr>
      </w:pPr>
      <w:r w:rsidRPr="006A6CE3">
        <w:rPr>
          <w:rFonts w:ascii="Arial" w:hAnsi="Arial" w:cs="Arial"/>
        </w:rPr>
        <w:t>3. These emission factors relate to the supply and distribution of energy products for general consumption, and take into account emissions relating to the extraction and processing of the energy carriers (e.g. oil refineries).  Except in the case of electricity, they do not include emissions relating to your company's use of the energy.  In the case of electricity, these factors include the emissions relating to the production of the fuels used to generate the electricity.</w:t>
      </w:r>
      <w:r w:rsidRPr="006A6CE3">
        <w:rPr>
          <w:rFonts w:ascii="Arial" w:hAnsi="Arial" w:cs="Arial"/>
        </w:rPr>
        <w:tab/>
      </w:r>
    </w:p>
    <w:p w:rsidR="00913351" w:rsidRPr="006A6CE3" w:rsidRDefault="00913351" w:rsidP="00E204D9">
      <w:pPr>
        <w:pStyle w:val="NoSpacing"/>
        <w:rPr>
          <w:rFonts w:ascii="Arial" w:hAnsi="Arial" w:cs="Arial"/>
        </w:rPr>
      </w:pPr>
      <w:r w:rsidRPr="006A6CE3">
        <w:rPr>
          <w:rFonts w:ascii="Arial" w:hAnsi="Arial" w:cs="Arial"/>
        </w:rPr>
        <w:t>4. These factors relate to spending on construction projects, not to emissions relating to construction projects in the supply chain.</w:t>
      </w:r>
    </w:p>
    <w:p w:rsidR="00913351" w:rsidRPr="006A6CE3" w:rsidRDefault="00913351" w:rsidP="00E204D9">
      <w:pPr>
        <w:pStyle w:val="NoSpacing"/>
        <w:rPr>
          <w:rFonts w:ascii="Arial" w:hAnsi="Arial" w:cs="Arial"/>
        </w:rPr>
        <w:sectPr w:rsidR="00913351" w:rsidRPr="006A6CE3" w:rsidSect="00913351">
          <w:footerReference w:type="default" r:id="rId78"/>
          <w:pgSz w:w="16838" w:h="11906" w:orient="landscape" w:code="9"/>
          <w:pgMar w:top="1797" w:right="1440" w:bottom="1797" w:left="284" w:header="709" w:footer="709" w:gutter="0"/>
          <w:pgBorders w:offsetFrom="page">
            <w:top w:val="single" w:sz="4" w:space="24" w:color="auto"/>
          </w:pgBorders>
          <w:cols w:space="708"/>
          <w:docGrid w:linePitch="360"/>
        </w:sectPr>
      </w:pPr>
      <w:r w:rsidRPr="006A6CE3">
        <w:rPr>
          <w:rFonts w:ascii="Arial" w:hAnsi="Arial" w:cs="Arial"/>
        </w:rPr>
        <w:t xml:space="preserve">5. These factors relate to transport services for hire or reward (including public transport services), not to emissions from vehicles owned by your company (for which estimates of actual fuel use should be used).  </w:t>
      </w:r>
    </w:p>
    <w:p w:rsidR="00913351" w:rsidRPr="006A6CE3" w:rsidRDefault="00913351" w:rsidP="00EA5B43">
      <w:pPr>
        <w:pStyle w:val="Heading2"/>
      </w:pPr>
      <w:bookmarkStart w:id="312" w:name="_Annex_F:_Intensity"/>
      <w:bookmarkStart w:id="313" w:name="_Toc358054598"/>
      <w:bookmarkStart w:id="314" w:name="_Toc358060238"/>
      <w:bookmarkStart w:id="315" w:name="_Toc358302311"/>
      <w:bookmarkStart w:id="316" w:name="_Toc380763591"/>
      <w:bookmarkEnd w:id="312"/>
      <w:r w:rsidRPr="006A6CE3">
        <w:lastRenderedPageBreak/>
        <w:t>Annex F: Intensity ratios</w:t>
      </w:r>
      <w:bookmarkEnd w:id="313"/>
      <w:bookmarkEnd w:id="314"/>
      <w:bookmarkEnd w:id="315"/>
      <w:bookmarkEnd w:id="316"/>
    </w:p>
    <w:p w:rsidR="00913351" w:rsidRPr="006A6CE3" w:rsidRDefault="00913351" w:rsidP="00E204D9">
      <w:pPr>
        <w:rPr>
          <w:rFonts w:cs="Arial"/>
        </w:rPr>
      </w:pPr>
      <w:r w:rsidRPr="006A6CE3">
        <w:rPr>
          <w:rFonts w:cs="Arial"/>
        </w:rPr>
        <w:t>This guidance sets out below some examples, by sector, of activity and financial intensity ratios</w:t>
      </w:r>
      <w:r w:rsidRPr="006A6CE3">
        <w:rPr>
          <w:rStyle w:val="FootnoteReference"/>
          <w:rFonts w:cs="Arial"/>
        </w:rPr>
        <w:footnoteReference w:id="83"/>
      </w:r>
      <w:r w:rsidRPr="006A6CE3">
        <w:rPr>
          <w:rFonts w:cs="Arial"/>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3"/>
        <w:gridCol w:w="7191"/>
      </w:tblGrid>
      <w:tr w:rsidR="00913351" w:rsidRPr="006A6CE3" w:rsidTr="00913351">
        <w:tc>
          <w:tcPr>
            <w:tcW w:w="1351" w:type="pct"/>
            <w:shd w:val="clear" w:color="auto" w:fill="929309"/>
          </w:tcPr>
          <w:p w:rsidR="00913351" w:rsidRPr="006A6CE3" w:rsidRDefault="00913351" w:rsidP="00E204D9">
            <w:pPr>
              <w:pStyle w:val="NoSpacing"/>
              <w:rPr>
                <w:rFonts w:ascii="Arial" w:hAnsi="Arial" w:cs="Arial"/>
                <w:sz w:val="24"/>
                <w:lang w:bidi="en-US"/>
              </w:rPr>
            </w:pPr>
          </w:p>
          <w:p w:rsidR="00913351" w:rsidRPr="006A6CE3" w:rsidRDefault="00913351" w:rsidP="00E204D9">
            <w:pPr>
              <w:pStyle w:val="NoSpacing"/>
              <w:rPr>
                <w:rFonts w:ascii="Arial" w:hAnsi="Arial" w:cs="Arial"/>
                <w:sz w:val="24"/>
                <w:lang w:bidi="en-US"/>
              </w:rPr>
            </w:pPr>
          </w:p>
        </w:tc>
        <w:tc>
          <w:tcPr>
            <w:tcW w:w="3649" w:type="pct"/>
            <w:shd w:val="clear" w:color="auto" w:fill="929309"/>
          </w:tcPr>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Intensity measurement</w:t>
            </w:r>
          </w:p>
        </w:tc>
      </w:tr>
      <w:tr w:rsidR="00913351" w:rsidRPr="006A6CE3" w:rsidTr="00913351">
        <w:tc>
          <w:tcPr>
            <w:tcW w:w="1351" w:type="pct"/>
            <w:vMerge w:val="restart"/>
          </w:tcPr>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All</w:t>
            </w:r>
          </w:p>
        </w:tc>
        <w:tc>
          <w:tcPr>
            <w:tcW w:w="3649" w:type="pct"/>
          </w:tcPr>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Tonnes of CO</w:t>
            </w:r>
            <w:r w:rsidRPr="006A6CE3">
              <w:rPr>
                <w:rFonts w:ascii="Arial" w:hAnsi="Arial" w:cs="Arial"/>
                <w:sz w:val="24"/>
                <w:vertAlign w:val="subscript"/>
                <w:lang w:bidi="en-US"/>
              </w:rPr>
              <w:t>2</w:t>
            </w:r>
            <w:r w:rsidRPr="006A6CE3">
              <w:rPr>
                <w:rFonts w:ascii="Arial" w:hAnsi="Arial" w:cs="Arial"/>
                <w:sz w:val="24"/>
                <w:lang w:bidi="en-US"/>
              </w:rPr>
              <w:t>e per total £m sales revenue</w:t>
            </w:r>
          </w:p>
        </w:tc>
      </w:tr>
      <w:tr w:rsidR="00913351" w:rsidRPr="006A6CE3" w:rsidTr="00913351">
        <w:tc>
          <w:tcPr>
            <w:tcW w:w="1351" w:type="pct"/>
            <w:vMerge/>
          </w:tcPr>
          <w:p w:rsidR="00913351" w:rsidRPr="006A6CE3" w:rsidRDefault="00913351" w:rsidP="00E204D9">
            <w:pPr>
              <w:pStyle w:val="NoSpacing"/>
              <w:rPr>
                <w:rFonts w:ascii="Arial" w:hAnsi="Arial" w:cs="Arial"/>
                <w:sz w:val="24"/>
                <w:lang w:bidi="en-US"/>
              </w:rPr>
            </w:pPr>
          </w:p>
        </w:tc>
        <w:tc>
          <w:tcPr>
            <w:tcW w:w="3649" w:type="pct"/>
          </w:tcPr>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Tonnes of CO</w:t>
            </w:r>
            <w:r w:rsidRPr="006A6CE3">
              <w:rPr>
                <w:rFonts w:ascii="Arial" w:hAnsi="Arial" w:cs="Arial"/>
                <w:sz w:val="24"/>
                <w:vertAlign w:val="subscript"/>
                <w:lang w:bidi="en-US"/>
              </w:rPr>
              <w:t>2</w:t>
            </w:r>
            <w:r w:rsidRPr="006A6CE3">
              <w:rPr>
                <w:rFonts w:ascii="Arial" w:hAnsi="Arial" w:cs="Arial"/>
                <w:sz w:val="24"/>
                <w:lang w:bidi="en-US"/>
              </w:rPr>
              <w:t>e per total £m Earnings Before Interest, Tax, Depreciation and Amortisation (EBITDA)</w:t>
            </w:r>
          </w:p>
        </w:tc>
      </w:tr>
      <w:tr w:rsidR="00913351" w:rsidRPr="006A6CE3" w:rsidTr="00913351">
        <w:tc>
          <w:tcPr>
            <w:tcW w:w="1351" w:type="pct"/>
            <w:vMerge/>
          </w:tcPr>
          <w:p w:rsidR="00913351" w:rsidRPr="006A6CE3" w:rsidRDefault="00913351" w:rsidP="00E204D9">
            <w:pPr>
              <w:pStyle w:val="NoSpacing"/>
              <w:rPr>
                <w:rFonts w:ascii="Arial" w:hAnsi="Arial" w:cs="Arial"/>
                <w:sz w:val="24"/>
                <w:lang w:bidi="en-US"/>
              </w:rPr>
            </w:pPr>
          </w:p>
        </w:tc>
        <w:tc>
          <w:tcPr>
            <w:tcW w:w="3649" w:type="pct"/>
          </w:tcPr>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Tonnes of CO</w:t>
            </w:r>
            <w:r w:rsidRPr="006A6CE3">
              <w:rPr>
                <w:rFonts w:ascii="Arial" w:hAnsi="Arial" w:cs="Arial"/>
                <w:sz w:val="24"/>
                <w:vertAlign w:val="subscript"/>
                <w:lang w:bidi="en-US"/>
              </w:rPr>
              <w:t>2</w:t>
            </w:r>
            <w:r w:rsidRPr="006A6CE3">
              <w:rPr>
                <w:rFonts w:ascii="Arial" w:hAnsi="Arial" w:cs="Arial"/>
                <w:sz w:val="24"/>
                <w:lang w:bidi="en-US"/>
              </w:rPr>
              <w:t xml:space="preserve">e per full time equivalents </w:t>
            </w:r>
          </w:p>
        </w:tc>
      </w:tr>
      <w:tr w:rsidR="00913351" w:rsidRPr="006A6CE3" w:rsidTr="00913351">
        <w:tc>
          <w:tcPr>
            <w:tcW w:w="1351" w:type="pct"/>
          </w:tcPr>
          <w:p w:rsidR="00913351" w:rsidRPr="006A6CE3" w:rsidRDefault="00913351" w:rsidP="00E204D9">
            <w:pPr>
              <w:pStyle w:val="NoSpacing"/>
              <w:rPr>
                <w:rFonts w:ascii="Arial" w:hAnsi="Arial" w:cs="Arial"/>
                <w:bCs/>
                <w:sz w:val="24"/>
                <w:lang w:bidi="en-US"/>
              </w:rPr>
            </w:pPr>
            <w:r w:rsidRPr="006A6CE3">
              <w:rPr>
                <w:rFonts w:ascii="Arial" w:hAnsi="Arial" w:cs="Arial"/>
                <w:bCs/>
                <w:sz w:val="24"/>
                <w:lang w:bidi="en-US"/>
              </w:rPr>
              <w:t>Integrated oil and gas</w:t>
            </w:r>
          </w:p>
          <w:p w:rsidR="00913351" w:rsidRPr="006A6CE3" w:rsidRDefault="00913351" w:rsidP="00E204D9">
            <w:pPr>
              <w:pStyle w:val="NoSpacing"/>
              <w:rPr>
                <w:rFonts w:ascii="Arial" w:hAnsi="Arial" w:cs="Arial"/>
                <w:sz w:val="24"/>
                <w:lang w:bidi="en-US"/>
              </w:rPr>
            </w:pPr>
          </w:p>
        </w:tc>
        <w:tc>
          <w:tcPr>
            <w:tcW w:w="3649" w:type="pct"/>
          </w:tcPr>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Tonnes of CO</w:t>
            </w:r>
            <w:r w:rsidRPr="006A6CE3">
              <w:rPr>
                <w:rFonts w:ascii="Arial" w:hAnsi="Arial" w:cs="Arial"/>
                <w:sz w:val="24"/>
                <w:vertAlign w:val="subscript"/>
                <w:lang w:bidi="en-US"/>
              </w:rPr>
              <w:t>2</w:t>
            </w:r>
            <w:r w:rsidRPr="006A6CE3">
              <w:rPr>
                <w:rFonts w:ascii="Arial" w:hAnsi="Arial" w:cs="Arial"/>
                <w:sz w:val="24"/>
                <w:lang w:bidi="en-US"/>
              </w:rPr>
              <w:t>e per tonne of output, broken down for:</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Exploration and production</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Refining</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Petrochemicals</w:t>
            </w:r>
          </w:p>
          <w:p w:rsidR="00913351" w:rsidRPr="006A6CE3" w:rsidRDefault="00913351" w:rsidP="00E204D9">
            <w:pPr>
              <w:pStyle w:val="NoSpacing"/>
              <w:rPr>
                <w:rFonts w:ascii="Arial" w:hAnsi="Arial" w:cs="Arial"/>
                <w:sz w:val="24"/>
                <w:lang w:bidi="en-US"/>
              </w:rPr>
            </w:pPr>
          </w:p>
        </w:tc>
      </w:tr>
      <w:tr w:rsidR="00913351" w:rsidRPr="006A6CE3" w:rsidTr="00913351">
        <w:tc>
          <w:tcPr>
            <w:tcW w:w="1351" w:type="pct"/>
            <w:vMerge w:val="restart"/>
          </w:tcPr>
          <w:p w:rsidR="00913351" w:rsidRPr="006A6CE3" w:rsidRDefault="00913351" w:rsidP="00E204D9">
            <w:pPr>
              <w:pStyle w:val="NoSpacing"/>
              <w:rPr>
                <w:rFonts w:ascii="Arial" w:hAnsi="Arial" w:cs="Arial"/>
                <w:bCs/>
                <w:sz w:val="24"/>
                <w:lang w:bidi="en-US"/>
              </w:rPr>
            </w:pPr>
            <w:r w:rsidRPr="006A6CE3">
              <w:rPr>
                <w:rFonts w:ascii="Arial" w:hAnsi="Arial" w:cs="Arial"/>
                <w:bCs/>
                <w:sz w:val="24"/>
                <w:lang w:bidi="en-US"/>
              </w:rPr>
              <w:t>Transport sectors</w:t>
            </w:r>
          </w:p>
          <w:p w:rsidR="00913351" w:rsidRPr="006A6CE3" w:rsidRDefault="00913351" w:rsidP="00E204D9">
            <w:pPr>
              <w:pStyle w:val="NoSpacing"/>
              <w:rPr>
                <w:rFonts w:ascii="Arial" w:hAnsi="Arial" w:cs="Arial"/>
                <w:bCs/>
                <w:sz w:val="24"/>
                <w:lang w:bidi="en-US"/>
              </w:rPr>
            </w:pPr>
          </w:p>
        </w:tc>
        <w:tc>
          <w:tcPr>
            <w:tcW w:w="3649" w:type="pct"/>
          </w:tcPr>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Tonnes of CO</w:t>
            </w:r>
            <w:r w:rsidRPr="006A6CE3">
              <w:rPr>
                <w:rFonts w:ascii="Arial" w:hAnsi="Arial" w:cs="Arial"/>
                <w:sz w:val="24"/>
                <w:vertAlign w:val="subscript"/>
                <w:lang w:bidi="en-US"/>
              </w:rPr>
              <w:t>2</w:t>
            </w:r>
            <w:r w:rsidRPr="006A6CE3">
              <w:rPr>
                <w:rFonts w:ascii="Arial" w:hAnsi="Arial" w:cs="Arial"/>
                <w:sz w:val="24"/>
                <w:lang w:bidi="en-US"/>
              </w:rPr>
              <w:t xml:space="preserve">e per revenue tonne kilometre (RTK – revenue from transporting one tonne over a distance of one kilometre) </w:t>
            </w:r>
          </w:p>
          <w:p w:rsidR="00913351" w:rsidRPr="006A6CE3" w:rsidRDefault="00913351" w:rsidP="00E204D9">
            <w:pPr>
              <w:pStyle w:val="NoSpacing"/>
              <w:rPr>
                <w:rFonts w:ascii="Arial" w:hAnsi="Arial" w:cs="Arial"/>
                <w:sz w:val="24"/>
                <w:lang w:bidi="en-US"/>
              </w:rPr>
            </w:pPr>
          </w:p>
        </w:tc>
      </w:tr>
      <w:tr w:rsidR="00913351" w:rsidRPr="006A6CE3" w:rsidTr="00913351">
        <w:tc>
          <w:tcPr>
            <w:tcW w:w="1351" w:type="pct"/>
            <w:vMerge/>
          </w:tcPr>
          <w:p w:rsidR="00913351" w:rsidRPr="006A6CE3" w:rsidRDefault="00913351" w:rsidP="00E204D9">
            <w:pPr>
              <w:pStyle w:val="NoSpacing"/>
              <w:rPr>
                <w:rFonts w:ascii="Arial" w:hAnsi="Arial" w:cs="Arial"/>
                <w:bCs/>
                <w:sz w:val="24"/>
                <w:lang w:bidi="en-US"/>
              </w:rPr>
            </w:pPr>
          </w:p>
        </w:tc>
        <w:tc>
          <w:tcPr>
            <w:tcW w:w="3649" w:type="pct"/>
          </w:tcPr>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Tonnes of CO</w:t>
            </w:r>
            <w:r w:rsidRPr="006A6CE3">
              <w:rPr>
                <w:rFonts w:ascii="Arial" w:hAnsi="Arial" w:cs="Arial"/>
                <w:sz w:val="24"/>
                <w:vertAlign w:val="subscript"/>
                <w:lang w:bidi="en-US"/>
              </w:rPr>
              <w:t>2</w:t>
            </w:r>
            <w:r w:rsidRPr="006A6CE3">
              <w:rPr>
                <w:rFonts w:ascii="Arial" w:hAnsi="Arial" w:cs="Arial"/>
                <w:sz w:val="24"/>
                <w:lang w:bidi="en-US"/>
              </w:rPr>
              <w:t>e per pallet cases</w:t>
            </w:r>
          </w:p>
        </w:tc>
      </w:tr>
      <w:tr w:rsidR="00913351" w:rsidRPr="006A6CE3" w:rsidTr="00913351">
        <w:tc>
          <w:tcPr>
            <w:tcW w:w="1351" w:type="pct"/>
          </w:tcPr>
          <w:p w:rsidR="00913351" w:rsidRPr="006A6CE3" w:rsidRDefault="00913351" w:rsidP="00E204D9">
            <w:pPr>
              <w:pStyle w:val="NoSpacing"/>
              <w:rPr>
                <w:rFonts w:ascii="Arial" w:hAnsi="Arial" w:cs="Arial"/>
                <w:bCs/>
                <w:sz w:val="24"/>
                <w:lang w:bidi="en-US"/>
              </w:rPr>
            </w:pPr>
            <w:r w:rsidRPr="006A6CE3">
              <w:rPr>
                <w:rFonts w:ascii="Arial" w:hAnsi="Arial" w:cs="Arial"/>
                <w:bCs/>
                <w:sz w:val="24"/>
                <w:lang w:bidi="en-US"/>
              </w:rPr>
              <w:t>Passenger carrying sector</w:t>
            </w:r>
          </w:p>
        </w:tc>
        <w:tc>
          <w:tcPr>
            <w:tcW w:w="3649" w:type="pct"/>
          </w:tcPr>
          <w:p w:rsidR="00913351" w:rsidRPr="006A6CE3" w:rsidRDefault="00913351" w:rsidP="00E204D9">
            <w:pPr>
              <w:pStyle w:val="NoSpacing"/>
              <w:rPr>
                <w:rFonts w:ascii="Arial" w:hAnsi="Arial" w:cs="Arial"/>
                <w:sz w:val="24"/>
                <w:lang w:bidi="en-US"/>
              </w:rPr>
            </w:pPr>
            <w:proofErr w:type="spellStart"/>
            <w:r w:rsidRPr="006A6CE3">
              <w:rPr>
                <w:rFonts w:ascii="Arial" w:hAnsi="Arial" w:cs="Arial"/>
                <w:sz w:val="24"/>
                <w:lang w:bidi="en-US"/>
              </w:rPr>
              <w:t>Grammes</w:t>
            </w:r>
            <w:proofErr w:type="spellEnd"/>
            <w:r w:rsidRPr="006A6CE3">
              <w:rPr>
                <w:rFonts w:ascii="Arial" w:hAnsi="Arial" w:cs="Arial"/>
                <w:sz w:val="24"/>
                <w:lang w:bidi="en-US"/>
              </w:rPr>
              <w:t xml:space="preserve"> of CO</w:t>
            </w:r>
            <w:r w:rsidRPr="006A6CE3">
              <w:rPr>
                <w:rFonts w:ascii="Arial" w:hAnsi="Arial" w:cs="Arial"/>
                <w:sz w:val="24"/>
                <w:vertAlign w:val="subscript"/>
                <w:lang w:bidi="en-US"/>
              </w:rPr>
              <w:t>2</w:t>
            </w:r>
            <w:r w:rsidRPr="006A6CE3">
              <w:rPr>
                <w:rFonts w:ascii="Arial" w:hAnsi="Arial" w:cs="Arial"/>
                <w:sz w:val="24"/>
                <w:lang w:bidi="en-US"/>
              </w:rPr>
              <w:t>e per passenger kilometre</w:t>
            </w:r>
          </w:p>
        </w:tc>
      </w:tr>
      <w:tr w:rsidR="00913351" w:rsidRPr="006A6CE3" w:rsidTr="00913351">
        <w:tc>
          <w:tcPr>
            <w:tcW w:w="1351" w:type="pct"/>
          </w:tcPr>
          <w:p w:rsidR="00913351" w:rsidRPr="006A6CE3" w:rsidRDefault="00913351" w:rsidP="00E204D9">
            <w:pPr>
              <w:pStyle w:val="NoSpacing"/>
              <w:rPr>
                <w:rFonts w:ascii="Arial" w:hAnsi="Arial" w:cs="Arial"/>
                <w:bCs/>
                <w:sz w:val="24"/>
                <w:lang w:bidi="en-US"/>
              </w:rPr>
            </w:pPr>
            <w:r w:rsidRPr="006A6CE3">
              <w:rPr>
                <w:rFonts w:ascii="Arial" w:hAnsi="Arial" w:cs="Arial"/>
                <w:bCs/>
                <w:sz w:val="24"/>
                <w:lang w:bidi="en-US"/>
              </w:rPr>
              <w:t>Beverages</w:t>
            </w:r>
          </w:p>
          <w:p w:rsidR="00913351" w:rsidRPr="006A6CE3" w:rsidRDefault="00913351" w:rsidP="00E204D9">
            <w:pPr>
              <w:pStyle w:val="NoSpacing"/>
              <w:rPr>
                <w:rFonts w:ascii="Arial" w:hAnsi="Arial" w:cs="Arial"/>
                <w:bCs/>
                <w:sz w:val="24"/>
                <w:lang w:bidi="en-US"/>
              </w:rPr>
            </w:pPr>
          </w:p>
        </w:tc>
        <w:tc>
          <w:tcPr>
            <w:tcW w:w="3649" w:type="pct"/>
          </w:tcPr>
          <w:p w:rsidR="00913351" w:rsidRPr="006A6CE3" w:rsidRDefault="00913351" w:rsidP="00E204D9">
            <w:pPr>
              <w:pStyle w:val="NoSpacing"/>
              <w:rPr>
                <w:rFonts w:ascii="Arial" w:hAnsi="Arial" w:cs="Arial"/>
                <w:sz w:val="24"/>
                <w:lang w:bidi="en-US"/>
              </w:rPr>
            </w:pPr>
            <w:proofErr w:type="spellStart"/>
            <w:r w:rsidRPr="006A6CE3">
              <w:rPr>
                <w:rFonts w:ascii="Arial" w:hAnsi="Arial" w:cs="Arial"/>
                <w:sz w:val="24"/>
                <w:lang w:bidi="en-US"/>
              </w:rPr>
              <w:t>Grammes</w:t>
            </w:r>
            <w:proofErr w:type="spellEnd"/>
            <w:r w:rsidRPr="006A6CE3">
              <w:rPr>
                <w:rFonts w:ascii="Arial" w:hAnsi="Arial" w:cs="Arial"/>
                <w:sz w:val="24"/>
                <w:lang w:bidi="en-US"/>
              </w:rPr>
              <w:t xml:space="preserve"> of CO</w:t>
            </w:r>
            <w:r w:rsidRPr="006A6CE3">
              <w:rPr>
                <w:rFonts w:ascii="Arial" w:hAnsi="Arial" w:cs="Arial"/>
                <w:sz w:val="24"/>
                <w:vertAlign w:val="subscript"/>
                <w:lang w:bidi="en-US"/>
              </w:rPr>
              <w:t>2</w:t>
            </w:r>
            <w:r w:rsidRPr="006A6CE3">
              <w:rPr>
                <w:rFonts w:ascii="Arial" w:hAnsi="Arial" w:cs="Arial"/>
                <w:sz w:val="24"/>
                <w:lang w:bidi="en-US"/>
              </w:rPr>
              <w:t xml:space="preserve">e per total litres of beverage </w:t>
            </w:r>
            <w:r w:rsidR="004D6509" w:rsidRPr="006A6CE3">
              <w:rPr>
                <w:rFonts w:ascii="Arial" w:hAnsi="Arial" w:cs="Arial"/>
                <w:sz w:val="24"/>
                <w:lang w:bidi="en-US"/>
              </w:rPr>
              <w:t>e.g.</w:t>
            </w:r>
            <w:r w:rsidRPr="006A6CE3">
              <w:rPr>
                <w:rFonts w:ascii="Arial" w:hAnsi="Arial" w:cs="Arial"/>
                <w:sz w:val="24"/>
                <w:lang w:bidi="en-US"/>
              </w:rPr>
              <w:t xml:space="preserve"> beer, spirit </w:t>
            </w:r>
          </w:p>
          <w:p w:rsidR="00913351" w:rsidRPr="006A6CE3" w:rsidRDefault="00913351" w:rsidP="00E204D9">
            <w:pPr>
              <w:pStyle w:val="NoSpacing"/>
              <w:rPr>
                <w:rFonts w:ascii="Arial" w:hAnsi="Arial" w:cs="Arial"/>
                <w:sz w:val="24"/>
                <w:lang w:bidi="en-US"/>
              </w:rPr>
            </w:pPr>
          </w:p>
        </w:tc>
      </w:tr>
      <w:tr w:rsidR="00913351" w:rsidRPr="006A6CE3" w:rsidTr="00913351">
        <w:trPr>
          <w:trHeight w:val="564"/>
        </w:trPr>
        <w:tc>
          <w:tcPr>
            <w:tcW w:w="1351" w:type="pct"/>
          </w:tcPr>
          <w:p w:rsidR="00913351" w:rsidRPr="006A6CE3" w:rsidRDefault="00913351" w:rsidP="00E204D9">
            <w:pPr>
              <w:pStyle w:val="NoSpacing"/>
              <w:rPr>
                <w:rFonts w:ascii="Arial" w:hAnsi="Arial" w:cs="Arial"/>
                <w:bCs/>
                <w:sz w:val="24"/>
                <w:lang w:bidi="en-US"/>
              </w:rPr>
            </w:pPr>
            <w:r w:rsidRPr="006A6CE3">
              <w:rPr>
                <w:rFonts w:ascii="Arial" w:hAnsi="Arial" w:cs="Arial"/>
                <w:bCs/>
                <w:sz w:val="24"/>
                <w:lang w:bidi="en-US"/>
              </w:rPr>
              <w:t xml:space="preserve">Retail </w:t>
            </w:r>
          </w:p>
        </w:tc>
        <w:tc>
          <w:tcPr>
            <w:tcW w:w="3649" w:type="pct"/>
          </w:tcPr>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Tonnes of CO</w:t>
            </w:r>
            <w:r w:rsidRPr="006A6CE3">
              <w:rPr>
                <w:rFonts w:ascii="Arial" w:hAnsi="Arial" w:cs="Arial"/>
                <w:sz w:val="24"/>
                <w:vertAlign w:val="subscript"/>
                <w:lang w:bidi="en-US"/>
              </w:rPr>
              <w:t>2</w:t>
            </w:r>
            <w:r w:rsidRPr="006A6CE3">
              <w:rPr>
                <w:rFonts w:ascii="Arial" w:hAnsi="Arial" w:cs="Arial"/>
                <w:sz w:val="24"/>
                <w:lang w:bidi="en-US"/>
              </w:rPr>
              <w:t>e per square metre of gross store area</w:t>
            </w:r>
          </w:p>
        </w:tc>
      </w:tr>
      <w:tr w:rsidR="00913351" w:rsidRPr="006A6CE3" w:rsidTr="00913351">
        <w:tc>
          <w:tcPr>
            <w:tcW w:w="1351" w:type="pct"/>
          </w:tcPr>
          <w:p w:rsidR="00913351" w:rsidRPr="006A6CE3" w:rsidRDefault="00913351" w:rsidP="00E204D9">
            <w:pPr>
              <w:pStyle w:val="NoSpacing"/>
              <w:rPr>
                <w:rFonts w:ascii="Arial" w:hAnsi="Arial" w:cs="Arial"/>
                <w:bCs/>
                <w:sz w:val="24"/>
                <w:lang w:bidi="en-US"/>
              </w:rPr>
            </w:pPr>
            <w:r w:rsidRPr="006A6CE3">
              <w:rPr>
                <w:rFonts w:ascii="Arial" w:hAnsi="Arial" w:cs="Arial"/>
                <w:bCs/>
                <w:sz w:val="24"/>
                <w:lang w:bidi="en-US"/>
              </w:rPr>
              <w:t>Banking</w:t>
            </w:r>
          </w:p>
        </w:tc>
        <w:tc>
          <w:tcPr>
            <w:tcW w:w="3649" w:type="pct"/>
          </w:tcPr>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Tonnes of CO</w:t>
            </w:r>
            <w:r w:rsidRPr="006A6CE3">
              <w:rPr>
                <w:rFonts w:ascii="Arial" w:hAnsi="Arial" w:cs="Arial"/>
                <w:sz w:val="24"/>
                <w:vertAlign w:val="subscript"/>
                <w:lang w:bidi="en-US"/>
              </w:rPr>
              <w:t>2</w:t>
            </w:r>
            <w:r w:rsidRPr="006A6CE3">
              <w:rPr>
                <w:rFonts w:ascii="Arial" w:hAnsi="Arial" w:cs="Arial"/>
                <w:sz w:val="24"/>
                <w:lang w:bidi="en-US"/>
              </w:rPr>
              <w:t xml:space="preserve">e per £ </w:t>
            </w:r>
            <w:proofErr w:type="spellStart"/>
            <w:r w:rsidRPr="006A6CE3">
              <w:rPr>
                <w:rFonts w:ascii="Arial" w:hAnsi="Arial" w:cs="Arial"/>
                <w:sz w:val="24"/>
                <w:lang w:bidi="en-US"/>
              </w:rPr>
              <w:t>million</w:t>
            </w:r>
            <w:proofErr w:type="spellEnd"/>
            <w:r w:rsidRPr="006A6CE3">
              <w:rPr>
                <w:rFonts w:ascii="Arial" w:hAnsi="Arial" w:cs="Arial"/>
                <w:sz w:val="24"/>
                <w:lang w:bidi="en-US"/>
              </w:rPr>
              <w:t xml:space="preserve"> of income</w:t>
            </w:r>
          </w:p>
        </w:tc>
      </w:tr>
      <w:tr w:rsidR="00913351" w:rsidRPr="006A6CE3" w:rsidTr="00913351">
        <w:tc>
          <w:tcPr>
            <w:tcW w:w="1351" w:type="pct"/>
          </w:tcPr>
          <w:p w:rsidR="00913351" w:rsidRPr="006A6CE3" w:rsidRDefault="00913351" w:rsidP="00E204D9">
            <w:pPr>
              <w:pStyle w:val="NoSpacing"/>
              <w:rPr>
                <w:rFonts w:ascii="Arial" w:hAnsi="Arial" w:cs="Arial"/>
                <w:bCs/>
                <w:sz w:val="24"/>
                <w:lang w:bidi="en-US"/>
              </w:rPr>
            </w:pPr>
            <w:r w:rsidRPr="006A6CE3">
              <w:rPr>
                <w:rFonts w:ascii="Arial" w:hAnsi="Arial" w:cs="Arial"/>
                <w:bCs/>
                <w:sz w:val="24"/>
                <w:lang w:bidi="en-US"/>
              </w:rPr>
              <w:t>Manufacturing</w:t>
            </w:r>
          </w:p>
        </w:tc>
        <w:tc>
          <w:tcPr>
            <w:tcW w:w="3649" w:type="pct"/>
          </w:tcPr>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Tonnes of CO</w:t>
            </w:r>
            <w:r w:rsidRPr="006A6CE3">
              <w:rPr>
                <w:rFonts w:ascii="Arial" w:hAnsi="Arial" w:cs="Arial"/>
                <w:sz w:val="24"/>
                <w:vertAlign w:val="subscript"/>
                <w:lang w:bidi="en-US"/>
              </w:rPr>
              <w:t>2</w:t>
            </w:r>
            <w:r w:rsidRPr="006A6CE3">
              <w:rPr>
                <w:rFonts w:ascii="Arial" w:hAnsi="Arial" w:cs="Arial"/>
                <w:sz w:val="24"/>
                <w:lang w:bidi="en-US"/>
              </w:rPr>
              <w:t>e per total million tonnes of production</w:t>
            </w:r>
          </w:p>
        </w:tc>
      </w:tr>
      <w:tr w:rsidR="00913351" w:rsidRPr="006A6CE3" w:rsidTr="00913351">
        <w:tc>
          <w:tcPr>
            <w:tcW w:w="1351" w:type="pct"/>
          </w:tcPr>
          <w:p w:rsidR="00913351" w:rsidRPr="006A6CE3" w:rsidRDefault="00913351" w:rsidP="00E204D9">
            <w:pPr>
              <w:pStyle w:val="NoSpacing"/>
              <w:rPr>
                <w:rFonts w:ascii="Arial" w:hAnsi="Arial" w:cs="Arial"/>
                <w:bCs/>
                <w:sz w:val="24"/>
                <w:lang w:bidi="en-US"/>
              </w:rPr>
            </w:pPr>
            <w:r w:rsidRPr="006A6CE3">
              <w:rPr>
                <w:rFonts w:ascii="Arial" w:hAnsi="Arial" w:cs="Arial"/>
                <w:bCs/>
                <w:sz w:val="24"/>
                <w:lang w:bidi="en-US"/>
              </w:rPr>
              <w:t>Postal services</w:t>
            </w:r>
          </w:p>
        </w:tc>
        <w:tc>
          <w:tcPr>
            <w:tcW w:w="3649" w:type="pct"/>
          </w:tcPr>
          <w:p w:rsidR="00913351" w:rsidRPr="006A6CE3" w:rsidRDefault="00913351" w:rsidP="00E204D9">
            <w:pPr>
              <w:pStyle w:val="NoSpacing"/>
              <w:rPr>
                <w:rFonts w:ascii="Arial" w:hAnsi="Arial" w:cs="Arial"/>
                <w:sz w:val="24"/>
                <w:lang w:bidi="en-US"/>
              </w:rPr>
            </w:pPr>
            <w:proofErr w:type="spellStart"/>
            <w:r w:rsidRPr="006A6CE3">
              <w:rPr>
                <w:rFonts w:ascii="Arial" w:hAnsi="Arial" w:cs="Arial"/>
                <w:sz w:val="24"/>
                <w:lang w:bidi="en-US"/>
              </w:rPr>
              <w:t>Grammes</w:t>
            </w:r>
            <w:proofErr w:type="spellEnd"/>
            <w:r w:rsidRPr="006A6CE3">
              <w:rPr>
                <w:rFonts w:ascii="Arial" w:hAnsi="Arial" w:cs="Arial"/>
                <w:sz w:val="24"/>
                <w:lang w:bidi="en-US"/>
              </w:rPr>
              <w:t xml:space="preserve"> of CO</w:t>
            </w:r>
            <w:r w:rsidRPr="006A6CE3">
              <w:rPr>
                <w:rFonts w:ascii="Arial" w:hAnsi="Arial" w:cs="Arial"/>
                <w:sz w:val="24"/>
                <w:vertAlign w:val="subscript"/>
                <w:lang w:bidi="en-US"/>
              </w:rPr>
              <w:t>2</w:t>
            </w:r>
            <w:r w:rsidRPr="006A6CE3">
              <w:rPr>
                <w:rFonts w:ascii="Arial" w:hAnsi="Arial" w:cs="Arial"/>
                <w:sz w:val="24"/>
                <w:lang w:bidi="en-US"/>
              </w:rPr>
              <w:t>e per 1,000 items</w:t>
            </w:r>
          </w:p>
        </w:tc>
      </w:tr>
      <w:tr w:rsidR="00913351" w:rsidRPr="006A6CE3" w:rsidTr="00913351">
        <w:trPr>
          <w:trHeight w:val="500"/>
        </w:trPr>
        <w:tc>
          <w:tcPr>
            <w:tcW w:w="1351" w:type="pct"/>
          </w:tcPr>
          <w:p w:rsidR="00913351" w:rsidRPr="006A6CE3" w:rsidRDefault="00913351" w:rsidP="00E204D9">
            <w:pPr>
              <w:pStyle w:val="NoSpacing"/>
              <w:rPr>
                <w:rFonts w:ascii="Arial" w:hAnsi="Arial" w:cs="Arial"/>
                <w:bCs/>
                <w:sz w:val="24"/>
                <w:lang w:bidi="en-US"/>
              </w:rPr>
            </w:pPr>
            <w:r w:rsidRPr="006A6CE3">
              <w:rPr>
                <w:rFonts w:ascii="Arial" w:hAnsi="Arial" w:cs="Arial"/>
                <w:bCs/>
                <w:sz w:val="24"/>
                <w:lang w:bidi="en-US"/>
              </w:rPr>
              <w:t>Water utilities</w:t>
            </w:r>
          </w:p>
          <w:p w:rsidR="00913351" w:rsidRPr="006A6CE3" w:rsidRDefault="00913351" w:rsidP="00E204D9">
            <w:pPr>
              <w:pStyle w:val="NoSpacing"/>
              <w:rPr>
                <w:rFonts w:ascii="Arial" w:hAnsi="Arial" w:cs="Arial"/>
                <w:bCs/>
                <w:sz w:val="24"/>
                <w:lang w:bidi="en-US"/>
              </w:rPr>
            </w:pPr>
          </w:p>
        </w:tc>
        <w:tc>
          <w:tcPr>
            <w:tcW w:w="3649" w:type="pct"/>
          </w:tcPr>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Tonnes of CO</w:t>
            </w:r>
            <w:r w:rsidRPr="006A6CE3">
              <w:rPr>
                <w:rFonts w:ascii="Arial" w:hAnsi="Arial" w:cs="Arial"/>
                <w:sz w:val="24"/>
                <w:vertAlign w:val="subscript"/>
                <w:lang w:bidi="en-US"/>
              </w:rPr>
              <w:t>2</w:t>
            </w:r>
            <w:r w:rsidRPr="006A6CE3">
              <w:rPr>
                <w:rFonts w:ascii="Arial" w:hAnsi="Arial" w:cs="Arial"/>
                <w:sz w:val="24"/>
                <w:lang w:bidi="en-US"/>
              </w:rPr>
              <w:t xml:space="preserve">e per </w:t>
            </w:r>
            <w:proofErr w:type="spellStart"/>
            <w:r w:rsidRPr="006A6CE3">
              <w:rPr>
                <w:rFonts w:ascii="Arial" w:hAnsi="Arial" w:cs="Arial"/>
                <w:sz w:val="24"/>
                <w:lang w:bidi="en-US"/>
              </w:rPr>
              <w:t>megalitre</w:t>
            </w:r>
            <w:proofErr w:type="spellEnd"/>
            <w:r w:rsidRPr="006A6CE3">
              <w:rPr>
                <w:rFonts w:ascii="Arial" w:hAnsi="Arial" w:cs="Arial"/>
                <w:sz w:val="24"/>
                <w:lang w:bidi="en-US"/>
              </w:rPr>
              <w:t xml:space="preserve"> broken down by clean and wastewater</w:t>
            </w:r>
          </w:p>
        </w:tc>
      </w:tr>
      <w:tr w:rsidR="00913351" w:rsidRPr="006A6CE3" w:rsidTr="00913351">
        <w:tc>
          <w:tcPr>
            <w:tcW w:w="1351" w:type="pct"/>
          </w:tcPr>
          <w:p w:rsidR="00913351" w:rsidRPr="006A6CE3" w:rsidRDefault="00913351" w:rsidP="00E204D9">
            <w:pPr>
              <w:pStyle w:val="NoSpacing"/>
              <w:rPr>
                <w:rFonts w:ascii="Arial" w:hAnsi="Arial" w:cs="Arial"/>
                <w:bCs/>
                <w:sz w:val="24"/>
                <w:lang w:bidi="en-US"/>
              </w:rPr>
            </w:pPr>
            <w:r w:rsidRPr="006A6CE3">
              <w:rPr>
                <w:rFonts w:ascii="Arial" w:hAnsi="Arial" w:cs="Arial"/>
                <w:bCs/>
                <w:sz w:val="24"/>
                <w:lang w:bidi="en-US"/>
              </w:rPr>
              <w:t>Electricity utilities</w:t>
            </w:r>
          </w:p>
        </w:tc>
        <w:tc>
          <w:tcPr>
            <w:tcW w:w="3649" w:type="pct"/>
          </w:tcPr>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Tonnes of CO</w:t>
            </w:r>
            <w:r w:rsidRPr="006A6CE3">
              <w:rPr>
                <w:rFonts w:ascii="Arial" w:hAnsi="Arial" w:cs="Arial"/>
                <w:sz w:val="24"/>
                <w:vertAlign w:val="subscript"/>
                <w:lang w:bidi="en-US"/>
              </w:rPr>
              <w:t>2</w:t>
            </w:r>
            <w:r w:rsidRPr="006A6CE3">
              <w:rPr>
                <w:rFonts w:ascii="Arial" w:hAnsi="Arial" w:cs="Arial"/>
                <w:sz w:val="24"/>
                <w:lang w:bidi="en-US"/>
              </w:rPr>
              <w:t>e per megawatt hour</w:t>
            </w:r>
          </w:p>
        </w:tc>
      </w:tr>
      <w:tr w:rsidR="00913351" w:rsidRPr="006A6CE3" w:rsidTr="00913351">
        <w:tc>
          <w:tcPr>
            <w:tcW w:w="1351" w:type="pct"/>
          </w:tcPr>
          <w:p w:rsidR="00913351" w:rsidRPr="006A6CE3" w:rsidRDefault="00913351" w:rsidP="00E204D9">
            <w:pPr>
              <w:pStyle w:val="NoSpacing"/>
              <w:rPr>
                <w:rFonts w:ascii="Arial" w:hAnsi="Arial" w:cs="Arial"/>
                <w:bCs/>
                <w:sz w:val="24"/>
                <w:lang w:bidi="en-US"/>
              </w:rPr>
            </w:pPr>
            <w:r w:rsidRPr="006A6CE3">
              <w:rPr>
                <w:rFonts w:ascii="Arial" w:hAnsi="Arial" w:cs="Arial"/>
                <w:bCs/>
                <w:sz w:val="24"/>
                <w:lang w:bidi="en-US"/>
              </w:rPr>
              <w:t>Telecommunications, internet software and services</w:t>
            </w:r>
          </w:p>
          <w:p w:rsidR="00913351" w:rsidRPr="006A6CE3" w:rsidRDefault="00913351" w:rsidP="00E204D9">
            <w:pPr>
              <w:pStyle w:val="NoSpacing"/>
              <w:rPr>
                <w:rFonts w:ascii="Arial" w:hAnsi="Arial" w:cs="Arial"/>
                <w:bCs/>
                <w:sz w:val="24"/>
                <w:lang w:bidi="en-US"/>
              </w:rPr>
            </w:pPr>
          </w:p>
        </w:tc>
        <w:tc>
          <w:tcPr>
            <w:tcW w:w="3649" w:type="pct"/>
          </w:tcPr>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Tonnes of CO</w:t>
            </w:r>
            <w:r w:rsidRPr="006A6CE3">
              <w:rPr>
                <w:rFonts w:ascii="Arial" w:hAnsi="Arial" w:cs="Arial"/>
                <w:sz w:val="24"/>
                <w:vertAlign w:val="subscript"/>
                <w:lang w:bidi="en-US"/>
              </w:rPr>
              <w:t>2</w:t>
            </w:r>
            <w:r w:rsidRPr="006A6CE3">
              <w:rPr>
                <w:rFonts w:ascii="Arial" w:hAnsi="Arial" w:cs="Arial"/>
                <w:sz w:val="24"/>
                <w:lang w:bidi="en-US"/>
              </w:rPr>
              <w:t xml:space="preserve">e per gigabyte transmitted </w:t>
            </w:r>
          </w:p>
        </w:tc>
      </w:tr>
      <w:tr w:rsidR="00913351" w:rsidRPr="006A6CE3" w:rsidTr="00913351">
        <w:trPr>
          <w:trHeight w:val="85"/>
        </w:trPr>
        <w:tc>
          <w:tcPr>
            <w:tcW w:w="1351" w:type="pct"/>
          </w:tcPr>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Property sector</w:t>
            </w:r>
          </w:p>
        </w:tc>
        <w:tc>
          <w:tcPr>
            <w:tcW w:w="3649" w:type="pct"/>
          </w:tcPr>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Tonnes of CO</w:t>
            </w:r>
            <w:r w:rsidRPr="006A6CE3">
              <w:rPr>
                <w:rFonts w:ascii="Arial" w:hAnsi="Arial" w:cs="Arial"/>
                <w:sz w:val="24"/>
                <w:vertAlign w:val="subscript"/>
                <w:lang w:bidi="en-US"/>
              </w:rPr>
              <w:t>2</w:t>
            </w:r>
            <w:r w:rsidRPr="006A6CE3">
              <w:rPr>
                <w:rFonts w:ascii="Arial" w:hAnsi="Arial" w:cs="Arial"/>
                <w:sz w:val="24"/>
                <w:lang w:bidi="en-US"/>
              </w:rPr>
              <w:t xml:space="preserve">e per total square metres  </w:t>
            </w:r>
          </w:p>
        </w:tc>
      </w:tr>
    </w:tbl>
    <w:p w:rsidR="00913351" w:rsidRPr="006A6CE3" w:rsidRDefault="00913351" w:rsidP="00E204D9">
      <w:pPr>
        <w:rPr>
          <w:rFonts w:cs="Arial"/>
        </w:rPr>
      </w:pPr>
    </w:p>
    <w:p w:rsidR="00913351" w:rsidRPr="006A6CE3" w:rsidRDefault="00913351" w:rsidP="00EA5B43">
      <w:pPr>
        <w:pStyle w:val="Heading2"/>
      </w:pPr>
      <w:bookmarkStart w:id="317" w:name="_Annex_G:_Emission"/>
      <w:bookmarkEnd w:id="317"/>
      <w:r w:rsidRPr="006A6CE3">
        <w:br w:type="page"/>
      </w:r>
      <w:bookmarkStart w:id="318" w:name="_Toc358054599"/>
      <w:bookmarkStart w:id="319" w:name="_Toc358060239"/>
      <w:bookmarkStart w:id="320" w:name="_Toc358302312"/>
      <w:bookmarkStart w:id="321" w:name="_Toc380763592"/>
      <w:r w:rsidRPr="006A6CE3">
        <w:lastRenderedPageBreak/>
        <w:t>Annex G: Emission reduction actions</w:t>
      </w:r>
      <w:bookmarkEnd w:id="318"/>
      <w:bookmarkEnd w:id="319"/>
      <w:bookmarkEnd w:id="320"/>
      <w:bookmarkEnd w:id="321"/>
      <w:r w:rsidRPr="006A6CE3">
        <w:t xml:space="preserve"> </w:t>
      </w:r>
    </w:p>
    <w:p w:rsidR="0094524F" w:rsidRPr="002B1436" w:rsidRDefault="0094524F" w:rsidP="002B1436">
      <w:pPr>
        <w:rPr>
          <w:rFonts w:cs="Arial"/>
          <w:color w:val="76923C"/>
          <w:szCs w:val="28"/>
          <w:highlight w:val="yellow"/>
        </w:rPr>
      </w:pPr>
      <w:bookmarkStart w:id="322" w:name="_Biogas_and_biomethane"/>
      <w:bookmarkEnd w:id="322"/>
      <w:r w:rsidRPr="002B1436">
        <w:rPr>
          <w:rFonts w:cs="Arial"/>
          <w:b/>
          <w:color w:val="76923C"/>
          <w:sz w:val="28"/>
          <w:szCs w:val="28"/>
          <w:highlight w:val="yellow"/>
        </w:rPr>
        <w:t xml:space="preserve">Biogas and </w:t>
      </w:r>
      <w:proofErr w:type="spellStart"/>
      <w:r w:rsidRPr="002B1436">
        <w:rPr>
          <w:rFonts w:cs="Arial"/>
          <w:b/>
          <w:color w:val="76923C"/>
          <w:sz w:val="28"/>
          <w:szCs w:val="28"/>
          <w:highlight w:val="yellow"/>
        </w:rPr>
        <w:t>biomethane</w:t>
      </w:r>
      <w:proofErr w:type="spellEnd"/>
    </w:p>
    <w:p w:rsidR="0094524F" w:rsidRPr="002B1436" w:rsidRDefault="0094524F" w:rsidP="0094524F">
      <w:pPr>
        <w:rPr>
          <w:rFonts w:cs="Arial"/>
          <w:highlight w:val="yellow"/>
        </w:rPr>
      </w:pPr>
      <w:r w:rsidRPr="002B1436">
        <w:rPr>
          <w:rFonts w:cs="Arial"/>
          <w:szCs w:val="24"/>
          <w:highlight w:val="yellow"/>
        </w:rPr>
        <w:t xml:space="preserve">Biogas is a mixture of methane and other gases from decomposing wastes such as crop wastes, manure or sewage. It can be burnt as is or cleaned to become a purer product: </w:t>
      </w:r>
      <w:proofErr w:type="spellStart"/>
      <w:r w:rsidRPr="002B1436">
        <w:rPr>
          <w:rFonts w:cs="Arial"/>
          <w:szCs w:val="24"/>
          <w:highlight w:val="yellow"/>
        </w:rPr>
        <w:t>biomethane</w:t>
      </w:r>
      <w:proofErr w:type="spellEnd"/>
      <w:r w:rsidRPr="002B1436">
        <w:rPr>
          <w:rFonts w:cs="Arial"/>
          <w:szCs w:val="24"/>
          <w:highlight w:val="yellow"/>
        </w:rPr>
        <w:t xml:space="preserve">. As biogas and </w:t>
      </w:r>
      <w:proofErr w:type="spellStart"/>
      <w:r w:rsidRPr="002B1436">
        <w:rPr>
          <w:rFonts w:cs="Arial"/>
          <w:szCs w:val="24"/>
          <w:highlight w:val="yellow"/>
        </w:rPr>
        <w:t>biomethane</w:t>
      </w:r>
      <w:proofErr w:type="spellEnd"/>
      <w:r w:rsidRPr="002B1436">
        <w:rPr>
          <w:rFonts w:cs="Arial"/>
          <w:szCs w:val="24"/>
          <w:highlight w:val="yellow"/>
        </w:rPr>
        <w:t xml:space="preserve"> have their origins in biological matter, the CO</w:t>
      </w:r>
      <w:r w:rsidRPr="002B1436">
        <w:rPr>
          <w:rFonts w:cs="Arial"/>
          <w:szCs w:val="24"/>
          <w:highlight w:val="yellow"/>
          <w:vertAlign w:val="subscript"/>
        </w:rPr>
        <w:t>2</w:t>
      </w:r>
      <w:r w:rsidRPr="002B1436">
        <w:rPr>
          <w:rFonts w:cs="Arial"/>
          <w:szCs w:val="24"/>
          <w:highlight w:val="yellow"/>
        </w:rPr>
        <w:t xml:space="preserve"> </w:t>
      </w:r>
      <w:r w:rsidRPr="002B1436">
        <w:rPr>
          <w:rFonts w:cs="Arial"/>
          <w:highlight w:val="yellow"/>
        </w:rPr>
        <w:t xml:space="preserve">emitted when they are burnt is not accounted for within the scopes of an organisation’s inventory. It would be logged separately under biogenic emissions. This </w:t>
      </w:r>
      <w:proofErr w:type="gramStart"/>
      <w:r w:rsidRPr="002B1436">
        <w:rPr>
          <w:rFonts w:cs="Arial"/>
          <w:highlight w:val="yellow"/>
        </w:rPr>
        <w:t>reduces  key</w:t>
      </w:r>
      <w:proofErr w:type="gramEnd"/>
      <w:r w:rsidRPr="002B1436">
        <w:rPr>
          <w:rFonts w:cs="Arial"/>
          <w:highlight w:val="yellow"/>
        </w:rPr>
        <w:t xml:space="preserve"> metrics of an organisation’s GHG inventory. </w:t>
      </w:r>
    </w:p>
    <w:p w:rsidR="0094524F" w:rsidRPr="002B1436" w:rsidRDefault="0094524F" w:rsidP="0094524F">
      <w:pPr>
        <w:rPr>
          <w:rFonts w:cs="Arial"/>
          <w:highlight w:val="yellow"/>
        </w:rPr>
      </w:pPr>
      <w:proofErr w:type="spellStart"/>
      <w:r w:rsidRPr="002B1436">
        <w:rPr>
          <w:rFonts w:cs="Arial"/>
          <w:highlight w:val="yellow"/>
        </w:rPr>
        <w:t>Biomethane</w:t>
      </w:r>
      <w:proofErr w:type="spellEnd"/>
      <w:r w:rsidRPr="002B1436">
        <w:rPr>
          <w:rFonts w:cs="Arial"/>
          <w:highlight w:val="yellow"/>
        </w:rPr>
        <w:t xml:space="preserve"> can be injected into the national gas grid. This has been encouraged by the UK Government through the Renewable Heat Incentive which is paid to the producer of the </w:t>
      </w:r>
      <w:proofErr w:type="spellStart"/>
      <w:r w:rsidRPr="002B1436">
        <w:rPr>
          <w:rFonts w:cs="Arial"/>
          <w:highlight w:val="yellow"/>
        </w:rPr>
        <w:t>biomethane</w:t>
      </w:r>
      <w:proofErr w:type="spellEnd"/>
      <w:r w:rsidRPr="002B1436">
        <w:rPr>
          <w:rFonts w:cs="Arial"/>
          <w:highlight w:val="yellow"/>
        </w:rPr>
        <w:t xml:space="preserve">. Some organisations are prepared to pay extra for this renewable gas, but it becomes mixed with natural gas once it enters </w:t>
      </w:r>
      <w:r w:rsidR="00921DF8" w:rsidRPr="002B1436">
        <w:rPr>
          <w:rFonts w:cs="Arial"/>
          <w:highlight w:val="yellow"/>
        </w:rPr>
        <w:t>the national gas grid. I</w:t>
      </w:r>
      <w:r w:rsidRPr="002B1436">
        <w:rPr>
          <w:rFonts w:cs="Arial"/>
          <w:highlight w:val="yellow"/>
        </w:rPr>
        <w:t xml:space="preserve">n terms of overall GHG emissions to the atmosphere, it does not matter who actually burns the </w:t>
      </w:r>
      <w:proofErr w:type="spellStart"/>
      <w:r w:rsidRPr="002B1436">
        <w:rPr>
          <w:rFonts w:cs="Arial"/>
          <w:highlight w:val="yellow"/>
        </w:rPr>
        <w:t>biomethane</w:t>
      </w:r>
      <w:proofErr w:type="spellEnd"/>
      <w:r w:rsidRPr="002B1436">
        <w:rPr>
          <w:rFonts w:cs="Arial"/>
          <w:highlight w:val="yellow"/>
        </w:rPr>
        <w:t>. However, the emissions benefit of the ga</w:t>
      </w:r>
      <w:r w:rsidR="00921DF8" w:rsidRPr="002B1436">
        <w:rPr>
          <w:rFonts w:cs="Arial"/>
          <w:highlight w:val="yellow"/>
        </w:rPr>
        <w:t xml:space="preserve">s does need to be tracked </w:t>
      </w:r>
      <w:r w:rsidRPr="002B1436">
        <w:rPr>
          <w:rFonts w:cs="Arial"/>
          <w:highlight w:val="yellow"/>
        </w:rPr>
        <w:t>to ensure that only one party lays claim to this. Certification schemes have been set up overseas and more recently in the UK with the intention of doing this.</w:t>
      </w:r>
    </w:p>
    <w:p w:rsidR="0094524F" w:rsidRPr="002B1436" w:rsidRDefault="0094524F" w:rsidP="0094524F">
      <w:pPr>
        <w:rPr>
          <w:rFonts w:cs="Arial"/>
          <w:highlight w:val="yellow"/>
        </w:rPr>
      </w:pPr>
      <w:r w:rsidRPr="002B1436">
        <w:rPr>
          <w:rFonts w:cs="Arial"/>
          <w:highlight w:val="yellow"/>
        </w:rPr>
        <w:t>Under these guidelines, a company may account for CO</w:t>
      </w:r>
      <w:r w:rsidRPr="002B1436">
        <w:rPr>
          <w:rFonts w:cs="Arial"/>
          <w:highlight w:val="yellow"/>
          <w:vertAlign w:val="subscript"/>
        </w:rPr>
        <w:t>2</w:t>
      </w:r>
      <w:r w:rsidRPr="002B1436">
        <w:rPr>
          <w:rFonts w:cs="Arial"/>
          <w:highlight w:val="yellow"/>
        </w:rPr>
        <w:t xml:space="preserve"> emissions from the combustion of natural gas within the biogenic section of their inventory and not within the scopes if they hold documents certifying that </w:t>
      </w:r>
      <w:proofErr w:type="spellStart"/>
      <w:r w:rsidRPr="002B1436">
        <w:rPr>
          <w:rFonts w:cs="Arial"/>
          <w:highlight w:val="yellow"/>
        </w:rPr>
        <w:t>biomethane</w:t>
      </w:r>
      <w:proofErr w:type="spellEnd"/>
      <w:r w:rsidRPr="002B1436">
        <w:rPr>
          <w:rFonts w:cs="Arial"/>
          <w:highlight w:val="yellow"/>
        </w:rPr>
        <w:t xml:space="preserve"> has been injected onto the grid. For every unit of natural gas combusted and accounted for in this way, the organisation would have to retire certificates for an equivalent number of units of </w:t>
      </w:r>
      <w:proofErr w:type="spellStart"/>
      <w:r w:rsidRPr="002B1436">
        <w:rPr>
          <w:rFonts w:cs="Arial"/>
          <w:highlight w:val="yellow"/>
        </w:rPr>
        <w:t>biomethane</w:t>
      </w:r>
      <w:proofErr w:type="spellEnd"/>
      <w:r w:rsidRPr="002B1436">
        <w:rPr>
          <w:rFonts w:cs="Arial"/>
          <w:highlight w:val="yellow"/>
        </w:rPr>
        <w:t xml:space="preserve">. Under this guidance, this may be reflected in the </w:t>
      </w:r>
      <w:r w:rsidR="00876587" w:rsidRPr="002B1436">
        <w:rPr>
          <w:rFonts w:cs="Arial"/>
          <w:i/>
          <w:highlight w:val="yellow"/>
          <w:u w:val="single"/>
        </w:rPr>
        <w:t>net</w:t>
      </w:r>
      <w:r w:rsidRPr="002B1436">
        <w:rPr>
          <w:rFonts w:cs="Arial"/>
          <w:highlight w:val="yellow"/>
        </w:rPr>
        <w:t xml:space="preserve"> emission figures. </w:t>
      </w:r>
    </w:p>
    <w:p w:rsidR="0094524F" w:rsidRPr="002B1436" w:rsidRDefault="0094524F" w:rsidP="0094524F">
      <w:pPr>
        <w:rPr>
          <w:rFonts w:cs="Arial"/>
          <w:highlight w:val="yellow"/>
        </w:rPr>
      </w:pPr>
      <w:r w:rsidRPr="002B1436">
        <w:rPr>
          <w:rFonts w:cs="Arial"/>
          <w:highlight w:val="yellow"/>
        </w:rPr>
        <w:t xml:space="preserve">Please read </w:t>
      </w:r>
      <w:hyperlink w:anchor="_Determine_which_emissions" w:history="1">
        <w:r w:rsidRPr="002B1436">
          <w:rPr>
            <w:rStyle w:val="Hyperlink"/>
            <w:rFonts w:cs="Arial"/>
            <w:highlight w:val="yellow"/>
          </w:rPr>
          <w:t>this section</w:t>
        </w:r>
      </w:hyperlink>
      <w:r w:rsidRPr="002B1436">
        <w:rPr>
          <w:rFonts w:cs="Arial"/>
          <w:highlight w:val="yellow"/>
        </w:rPr>
        <w:t xml:space="preserve"> of this document as N</w:t>
      </w:r>
      <w:r w:rsidRPr="002B1436">
        <w:rPr>
          <w:rFonts w:cs="Arial"/>
          <w:highlight w:val="yellow"/>
          <w:vertAlign w:val="subscript"/>
        </w:rPr>
        <w:t>2</w:t>
      </w:r>
      <w:r w:rsidRPr="002B1436">
        <w:rPr>
          <w:rFonts w:cs="Arial"/>
          <w:highlight w:val="yellow"/>
        </w:rPr>
        <w:t>O and CH</w:t>
      </w:r>
      <w:r w:rsidRPr="002B1436">
        <w:rPr>
          <w:rFonts w:cs="Arial"/>
          <w:highlight w:val="yellow"/>
          <w:vertAlign w:val="subscript"/>
        </w:rPr>
        <w:t>4</w:t>
      </w:r>
      <w:r w:rsidRPr="002B1436">
        <w:rPr>
          <w:rFonts w:cs="Arial"/>
          <w:highlight w:val="yellow"/>
        </w:rPr>
        <w:t xml:space="preserve">  that may also be produced during the combustion of the natural gas would be accounted for differently to the CO</w:t>
      </w:r>
      <w:r w:rsidRPr="002B1436">
        <w:rPr>
          <w:rFonts w:cs="Arial"/>
          <w:highlight w:val="yellow"/>
          <w:vertAlign w:val="subscript"/>
        </w:rPr>
        <w:t>2</w:t>
      </w:r>
      <w:r w:rsidRPr="002B1436">
        <w:rPr>
          <w:rFonts w:cs="Arial"/>
          <w:highlight w:val="yellow"/>
        </w:rPr>
        <w:t xml:space="preserve"> (assuming the certification requirements were met).</w:t>
      </w:r>
    </w:p>
    <w:p w:rsidR="0094524F" w:rsidRPr="002B1436" w:rsidRDefault="0094524F" w:rsidP="0094524F">
      <w:pPr>
        <w:rPr>
          <w:rFonts w:cs="Arial"/>
          <w:highlight w:val="yellow"/>
        </w:rPr>
      </w:pPr>
      <w:r w:rsidRPr="002B1436">
        <w:rPr>
          <w:rFonts w:cs="Arial"/>
          <w:highlight w:val="yellow"/>
        </w:rPr>
        <w:t xml:space="preserve">It is recognised that there will be double-counting of the emissions benefit if the </w:t>
      </w:r>
      <w:r w:rsidR="00921DF8" w:rsidRPr="002B1436">
        <w:rPr>
          <w:rFonts w:cs="Arial"/>
          <w:highlight w:val="yellow"/>
        </w:rPr>
        <w:t xml:space="preserve">published </w:t>
      </w:r>
      <w:r w:rsidRPr="002B1436">
        <w:rPr>
          <w:rFonts w:cs="Arial"/>
          <w:highlight w:val="yellow"/>
        </w:rPr>
        <w:t>conversion</w:t>
      </w:r>
      <w:r w:rsidR="00937CDE" w:rsidRPr="002B1436">
        <w:rPr>
          <w:rFonts w:cs="Arial"/>
          <w:highlight w:val="yellow"/>
        </w:rPr>
        <w:t>/emission</w:t>
      </w:r>
      <w:r w:rsidRPr="002B1436">
        <w:rPr>
          <w:rFonts w:cs="Arial"/>
          <w:highlight w:val="yellow"/>
        </w:rPr>
        <w:t xml:space="preserve"> factor for gas from the national grid includes </w:t>
      </w:r>
      <w:proofErr w:type="spellStart"/>
      <w:r w:rsidRPr="002B1436">
        <w:rPr>
          <w:rFonts w:cs="Arial"/>
          <w:highlight w:val="yellow"/>
        </w:rPr>
        <w:t>biomethane</w:t>
      </w:r>
      <w:proofErr w:type="spellEnd"/>
      <w:r w:rsidRPr="002B1436">
        <w:rPr>
          <w:rFonts w:cs="Arial"/>
          <w:highlight w:val="yellow"/>
        </w:rPr>
        <w:t xml:space="preserve"> and </w:t>
      </w:r>
      <w:r w:rsidR="00921DF8" w:rsidRPr="002B1436">
        <w:rPr>
          <w:rFonts w:cs="Arial"/>
          <w:highlight w:val="yellow"/>
        </w:rPr>
        <w:t xml:space="preserve">organisations are also making a private </w:t>
      </w:r>
      <w:r w:rsidRPr="002B1436">
        <w:rPr>
          <w:rFonts w:cs="Arial"/>
          <w:highlight w:val="yellow"/>
        </w:rPr>
        <w:t xml:space="preserve">claim to this benefit. However, projects to inject </w:t>
      </w:r>
      <w:proofErr w:type="spellStart"/>
      <w:r w:rsidRPr="002B1436">
        <w:rPr>
          <w:rFonts w:cs="Arial"/>
          <w:highlight w:val="yellow"/>
        </w:rPr>
        <w:t>biomethane</w:t>
      </w:r>
      <w:proofErr w:type="spellEnd"/>
      <w:r w:rsidRPr="002B1436">
        <w:rPr>
          <w:rFonts w:cs="Arial"/>
          <w:highlight w:val="yellow"/>
        </w:rPr>
        <w:t xml:space="preserve"> onto the grid are new to the UK. While the purchase and retirement of </w:t>
      </w:r>
      <w:proofErr w:type="spellStart"/>
      <w:r w:rsidRPr="002B1436">
        <w:rPr>
          <w:rFonts w:cs="Arial"/>
          <w:highlight w:val="yellow"/>
        </w:rPr>
        <w:t>biomethane</w:t>
      </w:r>
      <w:proofErr w:type="spellEnd"/>
      <w:r w:rsidRPr="002B1436">
        <w:rPr>
          <w:rFonts w:cs="Arial"/>
          <w:highlight w:val="yellow"/>
        </w:rPr>
        <w:t xml:space="preserve"> certificates may reduce the scopes figures for individual organisations, it will be some time before they have a noticeable impact on the gas grid conversion factor. Therefore double-counting is not considered a significant issue though </w:t>
      </w:r>
      <w:r w:rsidR="00937CDE" w:rsidRPr="002B1436">
        <w:rPr>
          <w:rFonts w:cs="Arial"/>
          <w:highlight w:val="yellow"/>
        </w:rPr>
        <w:t xml:space="preserve">it </w:t>
      </w:r>
      <w:r w:rsidRPr="002B1436">
        <w:rPr>
          <w:rFonts w:cs="Arial"/>
          <w:highlight w:val="yellow"/>
        </w:rPr>
        <w:t>will be kept under review.</w:t>
      </w:r>
    </w:p>
    <w:p w:rsidR="0094524F" w:rsidRDefault="0094524F" w:rsidP="0094524F">
      <w:pPr>
        <w:rPr>
          <w:rFonts w:cs="Arial"/>
        </w:rPr>
      </w:pPr>
      <w:r w:rsidRPr="002B1436">
        <w:rPr>
          <w:rFonts w:cs="Arial"/>
          <w:highlight w:val="yellow"/>
        </w:rPr>
        <w:t xml:space="preserve">To comply with this guidance, the </w:t>
      </w:r>
      <w:proofErr w:type="spellStart"/>
      <w:r w:rsidRPr="002B1436">
        <w:rPr>
          <w:rFonts w:cs="Arial"/>
          <w:highlight w:val="yellow"/>
        </w:rPr>
        <w:t>biomethane</w:t>
      </w:r>
      <w:proofErr w:type="spellEnd"/>
      <w:r w:rsidRPr="002B1436">
        <w:rPr>
          <w:rFonts w:cs="Arial"/>
          <w:highlight w:val="yellow"/>
        </w:rPr>
        <w:t xml:space="preserve"> certificates</w:t>
      </w:r>
      <w:r w:rsidR="00937CDE" w:rsidRPr="002B1436">
        <w:rPr>
          <w:rFonts w:cs="Arial"/>
          <w:highlight w:val="yellow"/>
        </w:rPr>
        <w:t xml:space="preserve"> must have been issued by an organisation</w:t>
      </w:r>
      <w:r w:rsidRPr="002B1436">
        <w:rPr>
          <w:rFonts w:cs="Arial"/>
          <w:highlight w:val="yellow"/>
        </w:rPr>
        <w:t xml:space="preserve"> that has passed a check by an independent body competent to assess </w:t>
      </w:r>
      <w:r w:rsidRPr="002B1436">
        <w:rPr>
          <w:rFonts w:cs="Arial"/>
          <w:highlight w:val="yellow"/>
        </w:rPr>
        <w:lastRenderedPageBreak/>
        <w:t>schemes of this nature. It is beyond the remit of this document to specify this check further.</w:t>
      </w:r>
      <w:r>
        <w:rPr>
          <w:rFonts w:cs="Arial"/>
        </w:rPr>
        <w:t xml:space="preserve">    </w:t>
      </w:r>
    </w:p>
    <w:p w:rsidR="00913351" w:rsidRPr="006A6CE3" w:rsidRDefault="00913351" w:rsidP="00E204D9">
      <w:pPr>
        <w:pStyle w:val="Heading4"/>
        <w:rPr>
          <w:rFonts w:cs="Arial"/>
          <w:i w:val="0"/>
          <w:color w:val="76923C"/>
          <w:sz w:val="28"/>
          <w:szCs w:val="28"/>
        </w:rPr>
      </w:pPr>
      <w:bookmarkStart w:id="323" w:name="_Purchasing_renewable_electricity"/>
      <w:bookmarkStart w:id="324" w:name="_Emission_factor_hierarchy"/>
      <w:bookmarkEnd w:id="323"/>
      <w:bookmarkEnd w:id="324"/>
      <w:r w:rsidRPr="006A6CE3">
        <w:rPr>
          <w:rFonts w:cs="Arial"/>
          <w:i w:val="0"/>
          <w:color w:val="76923C"/>
          <w:sz w:val="28"/>
          <w:szCs w:val="28"/>
        </w:rPr>
        <w:t>Offsets</w:t>
      </w:r>
    </w:p>
    <w:p w:rsidR="00913351" w:rsidRPr="006A6CE3" w:rsidRDefault="00913351" w:rsidP="00E204D9">
      <w:pPr>
        <w:rPr>
          <w:rFonts w:cs="Arial"/>
        </w:rPr>
      </w:pPr>
      <w:r w:rsidRPr="006A6CE3">
        <w:rPr>
          <w:rFonts w:cs="Arial"/>
        </w:rPr>
        <w:t>Your organisation may choose to reduce your emissions through projects that reduce GHG emissions outside your operations. This may be because GHG reductions can be achieved more practically or cost effectively from these external sources. You should list separately external GHG reduction activities, which should not be accounted for in your reported gross CO</w:t>
      </w:r>
      <w:r w:rsidRPr="006A6CE3">
        <w:rPr>
          <w:rFonts w:cs="Arial"/>
          <w:vertAlign w:val="subscript"/>
        </w:rPr>
        <w:t>2</w:t>
      </w:r>
      <w:r w:rsidRPr="006A6CE3">
        <w:rPr>
          <w:rFonts w:cs="Arial"/>
        </w:rPr>
        <w:t>e tonne figure, and provide a net CO</w:t>
      </w:r>
      <w:r w:rsidRPr="006A6CE3">
        <w:rPr>
          <w:rFonts w:cs="Arial"/>
          <w:vertAlign w:val="subscript"/>
        </w:rPr>
        <w:t>2</w:t>
      </w:r>
      <w:r w:rsidRPr="006A6CE3">
        <w:rPr>
          <w:rFonts w:cs="Arial"/>
        </w:rPr>
        <w:t>e tonne figure.</w:t>
      </w:r>
      <w:r w:rsidRPr="006A6CE3">
        <w:rPr>
          <w:rFonts w:cs="Arial"/>
          <w:b/>
        </w:rPr>
        <w:t xml:space="preserve"> </w:t>
      </w:r>
      <w:r w:rsidRPr="006A6CE3">
        <w:rPr>
          <w:rFonts w:cs="Arial"/>
        </w:rPr>
        <w:t xml:space="preserve">You may do this where these external reduction activities meet </w:t>
      </w:r>
      <w:proofErr w:type="spellStart"/>
      <w:r w:rsidRPr="006A6CE3">
        <w:rPr>
          <w:rFonts w:cs="Arial"/>
        </w:rPr>
        <w:t>Defra’s</w:t>
      </w:r>
      <w:proofErr w:type="spellEnd"/>
      <w:r w:rsidRPr="006A6CE3">
        <w:rPr>
          <w:rFonts w:cs="Arial"/>
        </w:rPr>
        <w:t xml:space="preserve"> good quality criteria set out below.</w:t>
      </w:r>
    </w:p>
    <w:p w:rsidR="00913351" w:rsidRPr="006A6CE3" w:rsidRDefault="00913351" w:rsidP="007944B7">
      <w:pPr>
        <w:rPr>
          <w:rFonts w:cs="Arial"/>
          <w:b/>
          <w:szCs w:val="24"/>
        </w:rPr>
      </w:pPr>
      <w:r w:rsidRPr="006A6CE3">
        <w:rPr>
          <w:rFonts w:cs="Arial"/>
          <w:b/>
          <w:color w:val="76923C"/>
          <w:sz w:val="28"/>
          <w:szCs w:val="28"/>
        </w:rPr>
        <w:t>‘Good Quality’ Criteria</w:t>
      </w:r>
      <w:r w:rsidRPr="006A6CE3">
        <w:rPr>
          <w:rFonts w:cs="Arial"/>
          <w:b/>
          <w:szCs w:val="24"/>
        </w:rPr>
        <w:t xml:space="preserve"> </w:t>
      </w:r>
    </w:p>
    <w:p w:rsidR="00913351" w:rsidRPr="006A6CE3" w:rsidRDefault="00913351" w:rsidP="007944B7">
      <w:pPr>
        <w:rPr>
          <w:rFonts w:cs="Arial"/>
          <w:szCs w:val="24"/>
        </w:rPr>
      </w:pPr>
      <w:proofErr w:type="spellStart"/>
      <w:r w:rsidRPr="006A6CE3">
        <w:rPr>
          <w:rFonts w:cs="Arial"/>
          <w:b/>
          <w:szCs w:val="24"/>
        </w:rPr>
        <w:t>Additionality</w:t>
      </w:r>
      <w:proofErr w:type="spellEnd"/>
      <w:r w:rsidRPr="006A6CE3">
        <w:rPr>
          <w:rFonts w:cs="Arial"/>
          <w:szCs w:val="24"/>
        </w:rPr>
        <w:t xml:space="preserve"> – Projects must demonstrate that they have produced a saving in carbon that would not have happened otherwise i.e. the project could not take place without the carbon finance from selling credits.  The project must not be required by legislation or to demonstrate compliance against legally binding targets. This should be demonstrated via a project methodology developed by a recognised body. </w:t>
      </w:r>
    </w:p>
    <w:p w:rsidR="00913351" w:rsidRPr="006A6CE3" w:rsidRDefault="00913351" w:rsidP="007944B7">
      <w:pPr>
        <w:rPr>
          <w:rFonts w:cs="Arial"/>
          <w:szCs w:val="24"/>
        </w:rPr>
      </w:pPr>
      <w:r w:rsidRPr="006A6CE3">
        <w:rPr>
          <w:rFonts w:cs="Arial"/>
          <w:b/>
          <w:szCs w:val="24"/>
        </w:rPr>
        <w:t xml:space="preserve">Avoiding leakage – </w:t>
      </w:r>
      <w:r w:rsidRPr="006A6CE3">
        <w:rPr>
          <w:rFonts w:cs="Arial"/>
          <w:szCs w:val="24"/>
        </w:rPr>
        <w:t>The project must demonstrate that it has not caused an increase in carbon emissions elsewhere. Leakage is when the carbon saving made at a project/location/time increases emissions elsewhere.  An assessment must be</w:t>
      </w:r>
      <w:r w:rsidRPr="006A6CE3">
        <w:rPr>
          <w:rFonts w:eastAsia="Times New Roman" w:cs="Arial"/>
          <w:szCs w:val="24"/>
          <w:lang w:eastAsia="en-GB"/>
        </w:rPr>
        <w:t xml:space="preserve"> made of any effects from the project whether up stream or downstream.  This must be taken into account in determining the total emissions that can be sold from that project.</w:t>
      </w:r>
      <w:r w:rsidRPr="006A6CE3">
        <w:rPr>
          <w:rFonts w:cs="Arial"/>
          <w:szCs w:val="24"/>
        </w:rPr>
        <w:t xml:space="preserve"> </w:t>
      </w:r>
    </w:p>
    <w:p w:rsidR="00913351" w:rsidRPr="006A6CE3" w:rsidRDefault="00913351" w:rsidP="007944B7">
      <w:pPr>
        <w:rPr>
          <w:rFonts w:cs="Arial"/>
          <w:szCs w:val="24"/>
        </w:rPr>
      </w:pPr>
      <w:r w:rsidRPr="006A6CE3">
        <w:rPr>
          <w:rFonts w:cs="Arial"/>
          <w:b/>
          <w:szCs w:val="24"/>
        </w:rPr>
        <w:t xml:space="preserve">Permanence - </w:t>
      </w:r>
      <w:r w:rsidRPr="006A6CE3">
        <w:rPr>
          <w:rFonts w:cs="Arial"/>
          <w:szCs w:val="24"/>
        </w:rPr>
        <w:t xml:space="preserve">If the project could be impermanent, (e.g. forestry projects are at risk of disease or fire) then this must be addressed by the project developer or offset provider.  To achieve this, projects with a risk of carbon loss should undertake a risk assessment and identify actions to minimise and compensate for loss.  </w:t>
      </w:r>
    </w:p>
    <w:p w:rsidR="00913351" w:rsidRPr="006A6CE3" w:rsidRDefault="00913351" w:rsidP="007944B7">
      <w:pPr>
        <w:rPr>
          <w:rFonts w:cs="Arial"/>
          <w:szCs w:val="24"/>
        </w:rPr>
      </w:pPr>
      <w:r w:rsidRPr="006A6CE3">
        <w:rPr>
          <w:rFonts w:cs="Arial"/>
          <w:b/>
          <w:szCs w:val="24"/>
        </w:rPr>
        <w:t xml:space="preserve">Validation and verification - </w:t>
      </w:r>
      <w:r w:rsidRPr="006A6CE3">
        <w:rPr>
          <w:rFonts w:cs="Arial"/>
          <w:szCs w:val="24"/>
        </w:rPr>
        <w:t xml:space="preserve">The project must receive </w:t>
      </w:r>
      <w:r w:rsidRPr="006A6CE3">
        <w:rPr>
          <w:rFonts w:cs="Arial"/>
          <w:b/>
          <w:szCs w:val="24"/>
        </w:rPr>
        <w:t>independent verification</w:t>
      </w:r>
      <w:r w:rsidRPr="006A6CE3">
        <w:rPr>
          <w:rFonts w:cs="Arial"/>
          <w:szCs w:val="24"/>
        </w:rPr>
        <w:t>.  The verifier must be an accredited and recognised independent third party. Purchasers of credits should also ensure that robust, independent validation and verification procedures were in place to check projects were implemented according to the methodology (validation) and subsequently monitored to ensure that emission reductions were properly measured (verification)</w:t>
      </w:r>
    </w:p>
    <w:p w:rsidR="00913351" w:rsidRPr="006A6CE3" w:rsidRDefault="00913351" w:rsidP="007944B7">
      <w:pPr>
        <w:rPr>
          <w:rFonts w:cs="Arial"/>
          <w:szCs w:val="24"/>
        </w:rPr>
      </w:pPr>
      <w:r w:rsidRPr="006A6CE3">
        <w:rPr>
          <w:rFonts w:cs="Arial"/>
          <w:b/>
          <w:szCs w:val="24"/>
        </w:rPr>
        <w:t xml:space="preserve">Timing – </w:t>
      </w:r>
      <w:r w:rsidRPr="006A6CE3">
        <w:rPr>
          <w:rFonts w:cs="Arial"/>
          <w:szCs w:val="24"/>
        </w:rPr>
        <w:t xml:space="preserve">Carbon credits should be ex-post, that is, they must only have been issued from the project </w:t>
      </w:r>
      <w:r w:rsidRPr="006A6CE3">
        <w:rPr>
          <w:rFonts w:cs="Arial"/>
          <w:b/>
          <w:szCs w:val="24"/>
        </w:rPr>
        <w:t>after</w:t>
      </w:r>
      <w:r w:rsidRPr="006A6CE3">
        <w:rPr>
          <w:rFonts w:cs="Arial"/>
          <w:szCs w:val="24"/>
        </w:rPr>
        <w:t xml:space="preserve"> the emissions reduction has taken place. </w:t>
      </w:r>
    </w:p>
    <w:p w:rsidR="00913351" w:rsidRPr="006A6CE3" w:rsidRDefault="00913351" w:rsidP="007944B7">
      <w:pPr>
        <w:rPr>
          <w:rFonts w:cs="Arial"/>
          <w:szCs w:val="24"/>
        </w:rPr>
      </w:pPr>
      <w:r w:rsidRPr="006A6CE3">
        <w:rPr>
          <w:rFonts w:cs="Arial"/>
          <w:b/>
          <w:szCs w:val="24"/>
        </w:rPr>
        <w:t xml:space="preserve">Avoiding double counting – </w:t>
      </w:r>
      <w:r w:rsidRPr="006A6CE3">
        <w:rPr>
          <w:rFonts w:cs="Arial"/>
          <w:szCs w:val="24"/>
        </w:rPr>
        <w:t xml:space="preserve">A registry must be used to register, track and permanently cancel credits to avoid </w:t>
      </w:r>
      <w:r w:rsidRPr="006A6CE3">
        <w:rPr>
          <w:rFonts w:cs="Arial"/>
          <w:b/>
          <w:szCs w:val="24"/>
        </w:rPr>
        <w:t xml:space="preserve">double counting </w:t>
      </w:r>
      <w:r w:rsidRPr="006A6CE3">
        <w:rPr>
          <w:rFonts w:cs="Arial"/>
          <w:szCs w:val="24"/>
        </w:rPr>
        <w:t>or double selling. Project must not be double counted against another policy or mandatory targets.</w:t>
      </w:r>
    </w:p>
    <w:p w:rsidR="00913351" w:rsidRPr="006A6CE3" w:rsidRDefault="00913351" w:rsidP="007944B7">
      <w:pPr>
        <w:rPr>
          <w:rFonts w:cs="Arial"/>
          <w:szCs w:val="24"/>
        </w:rPr>
      </w:pPr>
      <w:r w:rsidRPr="006A6CE3">
        <w:rPr>
          <w:rFonts w:cs="Arial"/>
          <w:b/>
          <w:szCs w:val="24"/>
        </w:rPr>
        <w:lastRenderedPageBreak/>
        <w:t xml:space="preserve">Transparency - </w:t>
      </w:r>
      <w:r w:rsidRPr="006A6CE3">
        <w:rPr>
          <w:rFonts w:cs="Arial"/>
          <w:szCs w:val="24"/>
        </w:rPr>
        <w:t xml:space="preserve">Credits should be supported by publically-available information on a registry to set out the underlying projects (when they were considered approved and implemented), the quantification methodology applied, independent validation and verification procedures, project documentation, proof of credit ownership and date of retirement of credits. </w:t>
      </w:r>
    </w:p>
    <w:p w:rsidR="00913351" w:rsidRPr="006A6CE3" w:rsidRDefault="00913351" w:rsidP="00E204D9">
      <w:pPr>
        <w:spacing w:after="240"/>
        <w:rPr>
          <w:rFonts w:cs="Arial"/>
        </w:rPr>
      </w:pPr>
      <w:r w:rsidRPr="006A6CE3">
        <w:rPr>
          <w:rFonts w:cs="Arial"/>
        </w:rPr>
        <w:t xml:space="preserve">Where your organisation is carbon offsetting, you should provide the following information as a minimum: </w:t>
      </w:r>
    </w:p>
    <w:p w:rsidR="00913351" w:rsidRPr="006A6CE3" w:rsidRDefault="00913351" w:rsidP="0086258B">
      <w:pPr>
        <w:numPr>
          <w:ilvl w:val="0"/>
          <w:numId w:val="26"/>
        </w:numPr>
        <w:tabs>
          <w:tab w:val="clear" w:pos="720"/>
        </w:tabs>
        <w:spacing w:before="200"/>
        <w:ind w:hanging="357"/>
        <w:rPr>
          <w:rFonts w:cs="Arial"/>
        </w:rPr>
      </w:pPr>
      <w:r w:rsidRPr="006A6CE3">
        <w:rPr>
          <w:rFonts w:cs="Arial"/>
        </w:rPr>
        <w:t>The reduction in tonnes of CO</w:t>
      </w:r>
      <w:r w:rsidRPr="006A6CE3">
        <w:rPr>
          <w:rFonts w:cs="Arial"/>
          <w:vertAlign w:val="subscript"/>
        </w:rPr>
        <w:t>2</w:t>
      </w:r>
      <w:r w:rsidRPr="006A6CE3">
        <w:rPr>
          <w:rFonts w:cs="Arial"/>
        </w:rPr>
        <w:t>e per year</w:t>
      </w:r>
    </w:p>
    <w:p w:rsidR="00913351" w:rsidRPr="006A6CE3" w:rsidRDefault="00913351" w:rsidP="0086258B">
      <w:pPr>
        <w:numPr>
          <w:ilvl w:val="0"/>
          <w:numId w:val="26"/>
        </w:numPr>
        <w:tabs>
          <w:tab w:val="clear" w:pos="720"/>
        </w:tabs>
        <w:spacing w:before="200"/>
        <w:ind w:hanging="357"/>
        <w:rPr>
          <w:rFonts w:cs="Arial"/>
        </w:rPr>
      </w:pPr>
      <w:r w:rsidRPr="006A6CE3">
        <w:rPr>
          <w:rFonts w:cs="Arial"/>
        </w:rPr>
        <w:t>Type of carbon credit (Kyoto-compliant or non-Kyoto compliant credit)</w:t>
      </w:r>
    </w:p>
    <w:p w:rsidR="00913351" w:rsidRPr="006A6CE3" w:rsidRDefault="00913351" w:rsidP="0086258B">
      <w:pPr>
        <w:numPr>
          <w:ilvl w:val="1"/>
          <w:numId w:val="26"/>
        </w:numPr>
        <w:tabs>
          <w:tab w:val="clear" w:pos="1440"/>
        </w:tabs>
        <w:spacing w:before="200"/>
        <w:ind w:hanging="357"/>
        <w:rPr>
          <w:rFonts w:cs="Arial"/>
        </w:rPr>
      </w:pPr>
      <w:r w:rsidRPr="006A6CE3">
        <w:rPr>
          <w:rFonts w:cs="Arial"/>
        </w:rPr>
        <w:t>If carbon credits are Kyoto-compliant, organisations should specify which external GHG programme has approved them (e.g. the Clean Development Mechanism, Joint Implementation), provide the name of the supplier, a hyperlink to the project documentation, the date you retired the units from the registry and a hyperlink to the proof of retirement.</w:t>
      </w:r>
    </w:p>
    <w:p w:rsidR="00913351" w:rsidRPr="006A6CE3" w:rsidRDefault="00913351" w:rsidP="0086258B">
      <w:pPr>
        <w:numPr>
          <w:ilvl w:val="1"/>
          <w:numId w:val="26"/>
        </w:numPr>
        <w:tabs>
          <w:tab w:val="clear" w:pos="1440"/>
        </w:tabs>
        <w:spacing w:before="200"/>
        <w:ind w:hanging="357"/>
        <w:rPr>
          <w:rFonts w:cs="Arial"/>
        </w:rPr>
      </w:pPr>
      <w:r w:rsidRPr="006A6CE3">
        <w:rPr>
          <w:rFonts w:cs="Arial"/>
        </w:rPr>
        <w:t xml:space="preserve">If carbon credits are non-Kyoto compliant, organisations should provide the name of the supplier, a hyperlink to the project documentation, details of who developed the quantification methodology, how the project was validated and verified, the date you retired the units from the registry and a hyperlink to the proof of retirement and how other ‘good quality’ criteria were met.  </w:t>
      </w:r>
    </w:p>
    <w:p w:rsidR="00913351" w:rsidRPr="006A6CE3" w:rsidRDefault="00913351" w:rsidP="00E204D9">
      <w:pPr>
        <w:pStyle w:val="Heading4"/>
        <w:rPr>
          <w:rFonts w:cs="Arial"/>
          <w:i w:val="0"/>
          <w:color w:val="76923C"/>
          <w:sz w:val="28"/>
          <w:szCs w:val="28"/>
        </w:rPr>
      </w:pPr>
      <w:r w:rsidRPr="006A6CE3">
        <w:rPr>
          <w:rFonts w:cs="Arial"/>
          <w:i w:val="0"/>
          <w:color w:val="76923C"/>
          <w:sz w:val="28"/>
          <w:szCs w:val="28"/>
        </w:rPr>
        <w:t>Woodland Carbon Units</w:t>
      </w:r>
    </w:p>
    <w:p w:rsidR="00913351" w:rsidRPr="006A6CE3" w:rsidRDefault="00913351" w:rsidP="007944B7">
      <w:pPr>
        <w:rPr>
          <w:rFonts w:cs="Arial"/>
        </w:rPr>
      </w:pPr>
      <w:r w:rsidRPr="006A6CE3">
        <w:rPr>
          <w:rFonts w:cs="Arial"/>
        </w:rPr>
        <w:t>Woodland Carbon Units</w:t>
      </w:r>
      <w:r w:rsidRPr="00D97915">
        <w:rPr>
          <w:rFonts w:ascii="Helvetica" w:hAnsi="Helvetica" w:cs="Arial"/>
          <w:vertAlign w:val="superscript"/>
        </w:rPr>
        <w:footnoteReference w:id="84"/>
      </w:r>
      <w:r w:rsidRPr="006A6CE3">
        <w:rPr>
          <w:rFonts w:cs="Arial"/>
        </w:rPr>
        <w:t xml:space="preserve"> (WCU) </w:t>
      </w:r>
      <w:proofErr w:type="gramStart"/>
      <w:r w:rsidRPr="006A6CE3">
        <w:rPr>
          <w:rFonts w:cs="Arial"/>
        </w:rPr>
        <w:t>quantify</w:t>
      </w:r>
      <w:proofErr w:type="gramEnd"/>
      <w:r w:rsidRPr="006A6CE3">
        <w:rPr>
          <w:rFonts w:cs="Arial"/>
        </w:rPr>
        <w:t xml:space="preserve"> CO</w:t>
      </w:r>
      <w:r w:rsidRPr="00D97915">
        <w:rPr>
          <w:rFonts w:ascii="Helvetica" w:hAnsi="Helvetica" w:cs="Arial"/>
          <w:vertAlign w:val="subscript"/>
        </w:rPr>
        <w:t>2</w:t>
      </w:r>
      <w:r w:rsidRPr="006A6CE3">
        <w:rPr>
          <w:rFonts w:cs="Arial"/>
        </w:rPr>
        <w:t xml:space="preserve"> sequestration due to woodland creation in the UK. They are </w:t>
      </w:r>
      <w:r w:rsidRPr="00200E16">
        <w:rPr>
          <w:rFonts w:cs="Arial"/>
        </w:rPr>
        <w:t>another</w:t>
      </w:r>
      <w:r w:rsidRPr="006A6CE3">
        <w:rPr>
          <w:rFonts w:cs="Arial"/>
        </w:rPr>
        <w:t xml:space="preserve"> option to carbon credits from projects overseas. They are certified to the Woodland Carbon Code</w:t>
      </w:r>
      <w:r w:rsidRPr="00D97915">
        <w:rPr>
          <w:rFonts w:ascii="Helvetica" w:hAnsi="Helvetica" w:cs="Arial"/>
          <w:vertAlign w:val="superscript"/>
        </w:rPr>
        <w:footnoteReference w:id="85"/>
      </w:r>
      <w:r w:rsidRPr="006A6CE3">
        <w:rPr>
          <w:rFonts w:cs="Arial"/>
        </w:rPr>
        <w:t>, but are not termed offsets or carbon credits because they do not meet all aspects of “</w:t>
      </w:r>
      <w:proofErr w:type="spellStart"/>
      <w:r w:rsidRPr="006A6CE3">
        <w:rPr>
          <w:rFonts w:cs="Arial"/>
        </w:rPr>
        <w:t>additionality</w:t>
      </w:r>
      <w:proofErr w:type="spellEnd"/>
      <w:r w:rsidRPr="006A6CE3">
        <w:rPr>
          <w:rFonts w:cs="Arial"/>
        </w:rPr>
        <w:t xml:space="preserve">” requirements, in common with all domestic emissions reduction projects. (This is related to UK government policy towards reducing emissions under UNFCCC agreements), </w:t>
      </w:r>
      <w:proofErr w:type="gramStart"/>
      <w:r w:rsidRPr="006A6CE3">
        <w:rPr>
          <w:rFonts w:cs="Arial"/>
        </w:rPr>
        <w:t>This</w:t>
      </w:r>
      <w:proofErr w:type="gramEnd"/>
      <w:r w:rsidRPr="006A6CE3">
        <w:rPr>
          <w:rFonts w:cs="Arial"/>
        </w:rPr>
        <w:t xml:space="preserve"> does not mean that it is inappropriate to finance domestic projects; indeed doing so helps the UK to meet its targets efficiently. </w:t>
      </w:r>
    </w:p>
    <w:p w:rsidR="00913351" w:rsidRPr="006A6CE3" w:rsidRDefault="00913351" w:rsidP="007944B7">
      <w:pPr>
        <w:rPr>
          <w:rFonts w:cs="Arial"/>
        </w:rPr>
      </w:pPr>
      <w:r w:rsidRPr="006A6CE3">
        <w:rPr>
          <w:rFonts w:cs="Arial"/>
        </w:rPr>
        <w:t xml:space="preserve">Where your organisation has purchased and retired WCUs, you should provide the following information as a minimum in your </w:t>
      </w:r>
      <w:r w:rsidRPr="006A6CE3">
        <w:rPr>
          <w:rFonts w:cs="Arial"/>
          <w:b/>
        </w:rPr>
        <w:t>net CO</w:t>
      </w:r>
      <w:r w:rsidRPr="006A6CE3">
        <w:rPr>
          <w:rFonts w:cs="Arial"/>
          <w:b/>
          <w:vertAlign w:val="subscript"/>
        </w:rPr>
        <w:t>2</w:t>
      </w:r>
      <w:r w:rsidRPr="006A6CE3">
        <w:rPr>
          <w:rFonts w:cs="Arial"/>
          <w:b/>
        </w:rPr>
        <w:t>e tonne figure</w:t>
      </w:r>
      <w:r w:rsidRPr="006A6CE3">
        <w:rPr>
          <w:rFonts w:cs="Arial"/>
        </w:rPr>
        <w:t xml:space="preserve">.  These units should be shown as a separate line to carbon credits/offsets:  </w:t>
      </w:r>
    </w:p>
    <w:p w:rsidR="00913351" w:rsidRPr="006A6CE3" w:rsidRDefault="00913351" w:rsidP="0086258B">
      <w:pPr>
        <w:numPr>
          <w:ilvl w:val="0"/>
          <w:numId w:val="27"/>
        </w:numPr>
        <w:spacing w:before="200"/>
        <w:rPr>
          <w:rFonts w:cs="Arial"/>
        </w:rPr>
      </w:pPr>
      <w:r w:rsidRPr="006A6CE3">
        <w:rPr>
          <w:rFonts w:cs="Arial"/>
        </w:rPr>
        <w:t>The reduction in tonnes of CO</w:t>
      </w:r>
      <w:r w:rsidRPr="006A6CE3">
        <w:rPr>
          <w:rFonts w:cs="Arial"/>
          <w:vertAlign w:val="subscript"/>
        </w:rPr>
        <w:t>2</w:t>
      </w:r>
      <w:r w:rsidRPr="006A6CE3">
        <w:rPr>
          <w:rFonts w:cs="Arial"/>
        </w:rPr>
        <w:t>e per year</w:t>
      </w:r>
    </w:p>
    <w:p w:rsidR="00913351" w:rsidRPr="006A6CE3" w:rsidRDefault="00913351" w:rsidP="0086258B">
      <w:pPr>
        <w:numPr>
          <w:ilvl w:val="0"/>
          <w:numId w:val="27"/>
        </w:numPr>
        <w:spacing w:before="200"/>
        <w:rPr>
          <w:rFonts w:cs="Arial"/>
        </w:rPr>
      </w:pPr>
      <w:r w:rsidRPr="006A6CE3">
        <w:rPr>
          <w:rFonts w:cs="Arial"/>
        </w:rPr>
        <w:lastRenderedPageBreak/>
        <w:t>The ID/name of the project and a hyperlink to the project documentation</w:t>
      </w:r>
    </w:p>
    <w:p w:rsidR="00913351" w:rsidRPr="006A6CE3" w:rsidRDefault="00913351" w:rsidP="0086258B">
      <w:pPr>
        <w:numPr>
          <w:ilvl w:val="0"/>
          <w:numId w:val="26"/>
        </w:numPr>
        <w:spacing w:before="200"/>
        <w:ind w:hanging="357"/>
        <w:rPr>
          <w:rFonts w:cs="Arial"/>
        </w:rPr>
      </w:pPr>
      <w:r w:rsidRPr="006A6CE3">
        <w:rPr>
          <w:rFonts w:cs="Arial"/>
        </w:rPr>
        <w:t xml:space="preserve">The date you retired the units from the registry and a hyperlink to the proof of retirement. </w:t>
      </w:r>
    </w:p>
    <w:p w:rsidR="00913351" w:rsidRPr="006A6CE3" w:rsidRDefault="00913351" w:rsidP="0086258B">
      <w:pPr>
        <w:numPr>
          <w:ilvl w:val="0"/>
          <w:numId w:val="26"/>
        </w:numPr>
        <w:spacing w:before="200"/>
        <w:ind w:hanging="357"/>
        <w:rPr>
          <w:rFonts w:cs="Arial"/>
        </w:rPr>
      </w:pPr>
      <w:r w:rsidRPr="006A6CE3">
        <w:rPr>
          <w:rFonts w:cs="Arial"/>
        </w:rPr>
        <w:t>The name of the validator/verifier</w:t>
      </w:r>
      <w:r w:rsidR="00C441E2">
        <w:rPr>
          <w:rFonts w:cs="Arial"/>
        </w:rPr>
        <w:t>.</w:t>
      </w:r>
      <w:r w:rsidRPr="006A6CE3">
        <w:rPr>
          <w:rFonts w:cs="Arial"/>
        </w:rPr>
        <w:t xml:space="preserve"> </w:t>
      </w:r>
    </w:p>
    <w:p w:rsidR="005B214E" w:rsidRPr="002B1436" w:rsidRDefault="005B214E" w:rsidP="005B214E">
      <w:pPr>
        <w:pStyle w:val="Heading3"/>
        <w:rPr>
          <w:color w:val="76923C" w:themeColor="accent3" w:themeShade="BF"/>
          <w:highlight w:val="yellow"/>
        </w:rPr>
      </w:pPr>
      <w:bookmarkStart w:id="325" w:name="_Annex_H:_Example"/>
      <w:bookmarkEnd w:id="325"/>
      <w:r w:rsidRPr="002B1436">
        <w:rPr>
          <w:color w:val="76923C" w:themeColor="accent3" w:themeShade="BF"/>
          <w:highlight w:val="yellow"/>
        </w:rPr>
        <w:t xml:space="preserve">Purchased Renewable Electricity </w:t>
      </w:r>
    </w:p>
    <w:p w:rsidR="005B214E" w:rsidRPr="002B1436" w:rsidRDefault="00C441E2" w:rsidP="002B1436">
      <w:pPr>
        <w:spacing w:line="240" w:lineRule="auto"/>
        <w:contextualSpacing/>
        <w:rPr>
          <w:highlight w:val="yellow"/>
        </w:rPr>
      </w:pPr>
      <w:r w:rsidRPr="002B1436">
        <w:rPr>
          <w:highlight w:val="yellow"/>
        </w:rPr>
        <w:t xml:space="preserve">Your organisation may </w:t>
      </w:r>
      <w:r w:rsidR="00FD02E5" w:rsidRPr="002B1436">
        <w:rPr>
          <w:highlight w:val="yellow"/>
        </w:rPr>
        <w:t xml:space="preserve">also </w:t>
      </w:r>
      <w:r w:rsidRPr="002B1436">
        <w:rPr>
          <w:highlight w:val="yellow"/>
        </w:rPr>
        <w:t>claim a reduction in its net Scope 2 emissions by purchasing renewable electricity</w:t>
      </w:r>
      <w:r w:rsidR="00FD02E5" w:rsidRPr="002B1436">
        <w:rPr>
          <w:highlight w:val="yellow"/>
        </w:rPr>
        <w:t xml:space="preserve"> that meets the criteria defined below.</w:t>
      </w:r>
      <w:r w:rsidRPr="002B1436">
        <w:rPr>
          <w:highlight w:val="yellow"/>
        </w:rPr>
        <w:t xml:space="preserve"> </w:t>
      </w:r>
      <w:r w:rsidR="006B3C34" w:rsidRPr="002B1436">
        <w:rPr>
          <w:highlight w:val="yellow"/>
        </w:rPr>
        <w:t>The</w:t>
      </w:r>
      <w:r w:rsidR="00301DAE" w:rsidRPr="002B1436">
        <w:rPr>
          <w:highlight w:val="yellow"/>
        </w:rPr>
        <w:t>se criteria have been updated</w:t>
      </w:r>
      <w:r w:rsidR="00FD02E5" w:rsidRPr="002B1436">
        <w:rPr>
          <w:highlight w:val="yellow"/>
        </w:rPr>
        <w:t xml:space="preserve"> </w:t>
      </w:r>
      <w:r w:rsidR="006B3C34" w:rsidRPr="002B1436">
        <w:rPr>
          <w:highlight w:val="yellow"/>
        </w:rPr>
        <w:t>from the 2009 Defra guidance.</w:t>
      </w:r>
    </w:p>
    <w:p w:rsidR="00301DAE" w:rsidRPr="002B1436" w:rsidRDefault="00301DAE" w:rsidP="005B214E">
      <w:pPr>
        <w:spacing w:line="240" w:lineRule="auto"/>
        <w:contextualSpacing/>
        <w:rPr>
          <w:highlight w:val="yellow"/>
        </w:rPr>
      </w:pPr>
    </w:p>
    <w:p w:rsidR="00301DAE" w:rsidRPr="002B1436" w:rsidRDefault="005B214E" w:rsidP="005B214E">
      <w:pPr>
        <w:spacing w:line="240" w:lineRule="auto"/>
        <w:contextualSpacing/>
        <w:rPr>
          <w:highlight w:val="yellow"/>
        </w:rPr>
      </w:pPr>
      <w:r w:rsidRPr="002B1436">
        <w:rPr>
          <w:highlight w:val="yellow"/>
        </w:rPr>
        <w:t xml:space="preserve">The 2009 guidance required that </w:t>
      </w:r>
      <w:r w:rsidR="00307A05" w:rsidRPr="002B1436">
        <w:rPr>
          <w:highlight w:val="yellow"/>
        </w:rPr>
        <w:t xml:space="preserve">purchased renewable </w:t>
      </w:r>
      <w:r w:rsidRPr="002B1436">
        <w:rPr>
          <w:highlight w:val="yellow"/>
        </w:rPr>
        <w:t xml:space="preserve">electricity </w:t>
      </w:r>
      <w:r w:rsidR="00307A05" w:rsidRPr="002B1436">
        <w:rPr>
          <w:highlight w:val="yellow"/>
        </w:rPr>
        <w:t xml:space="preserve">had to comply with </w:t>
      </w:r>
      <w:r w:rsidRPr="002B1436">
        <w:rPr>
          <w:highlight w:val="yellow"/>
        </w:rPr>
        <w:t xml:space="preserve">‘Good Quality’ Criteria in order to qualify for a reduced net Scope 2 emissions figure. These criteria required the supplier both to provide certificates of renewable electricity supply and to offset at least 50% of the carbon emissions from the tariff using Kyoto-compliant </w:t>
      </w:r>
      <w:r w:rsidR="00416B17" w:rsidRPr="002B1436">
        <w:rPr>
          <w:highlight w:val="yellow"/>
        </w:rPr>
        <w:t>c</w:t>
      </w:r>
      <w:r w:rsidRPr="002B1436">
        <w:rPr>
          <w:highlight w:val="yellow"/>
        </w:rPr>
        <w:t xml:space="preserve">arbon credits.  </w:t>
      </w:r>
    </w:p>
    <w:p w:rsidR="00301DAE" w:rsidRPr="002B1436" w:rsidRDefault="00301DAE" w:rsidP="005B214E">
      <w:pPr>
        <w:spacing w:line="240" w:lineRule="auto"/>
        <w:contextualSpacing/>
        <w:rPr>
          <w:highlight w:val="yellow"/>
        </w:rPr>
      </w:pPr>
    </w:p>
    <w:p w:rsidR="001B6D2F" w:rsidRPr="002B1436" w:rsidRDefault="005B214E" w:rsidP="005B214E">
      <w:pPr>
        <w:spacing w:line="240" w:lineRule="auto"/>
        <w:contextualSpacing/>
        <w:rPr>
          <w:highlight w:val="yellow"/>
        </w:rPr>
      </w:pPr>
      <w:r w:rsidRPr="002B1436">
        <w:rPr>
          <w:highlight w:val="yellow"/>
        </w:rPr>
        <w:t xml:space="preserve">The 2009 approach has been </w:t>
      </w:r>
      <w:r w:rsidR="00301DAE" w:rsidRPr="002B1436">
        <w:rPr>
          <w:highlight w:val="yellow"/>
        </w:rPr>
        <w:t>revised</w:t>
      </w:r>
      <w:r w:rsidRPr="002B1436">
        <w:rPr>
          <w:highlight w:val="yellow"/>
        </w:rPr>
        <w:t xml:space="preserve"> to allow organisations to report a reduced emissions figure based on renewable electricity certificates without the need to bundle and retire offsets. This net figure </w:t>
      </w:r>
      <w:r w:rsidR="00421A25" w:rsidRPr="002B1436">
        <w:rPr>
          <w:highlight w:val="yellow"/>
        </w:rPr>
        <w:t xml:space="preserve">may </w:t>
      </w:r>
      <w:r w:rsidRPr="002B1436">
        <w:rPr>
          <w:highlight w:val="yellow"/>
        </w:rPr>
        <w:t xml:space="preserve">be reported additionally to the location-based gross Scope 2 figure, which remains a reporting requirement. </w:t>
      </w:r>
    </w:p>
    <w:p w:rsidR="001B6D2F" w:rsidRPr="002B1436" w:rsidRDefault="001B6D2F" w:rsidP="005B214E">
      <w:pPr>
        <w:spacing w:line="240" w:lineRule="auto"/>
        <w:contextualSpacing/>
        <w:rPr>
          <w:highlight w:val="yellow"/>
        </w:rPr>
      </w:pPr>
    </w:p>
    <w:p w:rsidR="005B214E" w:rsidRPr="002B1436" w:rsidRDefault="005B214E" w:rsidP="005B214E">
      <w:pPr>
        <w:spacing w:line="240" w:lineRule="auto"/>
        <w:contextualSpacing/>
        <w:rPr>
          <w:highlight w:val="yellow"/>
        </w:rPr>
      </w:pPr>
      <w:r w:rsidRPr="002B1436">
        <w:rPr>
          <w:highlight w:val="yellow"/>
        </w:rPr>
        <w:t xml:space="preserve">In order to report the purchase of renewable electricity, the following criteria must be met: </w:t>
      </w:r>
    </w:p>
    <w:p w:rsidR="005B214E" w:rsidRPr="002B1436" w:rsidRDefault="005B214E" w:rsidP="005B214E">
      <w:pPr>
        <w:numPr>
          <w:ilvl w:val="0"/>
          <w:numId w:val="78"/>
        </w:numPr>
        <w:spacing w:line="240" w:lineRule="auto"/>
        <w:rPr>
          <w:highlight w:val="yellow"/>
        </w:rPr>
      </w:pPr>
      <w:r w:rsidRPr="002B1436">
        <w:rPr>
          <w:b/>
          <w:highlight w:val="yellow"/>
        </w:rPr>
        <w:t>REGOs:</w:t>
      </w:r>
      <w:r w:rsidRPr="002B1436">
        <w:rPr>
          <w:highlight w:val="yellow"/>
        </w:rPr>
        <w:t xml:space="preserve"> your</w:t>
      </w:r>
      <w:r w:rsidRPr="002B1436">
        <w:rPr>
          <w:iCs/>
          <w:szCs w:val="24"/>
          <w:highlight w:val="yellow"/>
        </w:rPr>
        <w:t xml:space="preserve"> electricity supplier must hold the requisite number of REGOs or </w:t>
      </w:r>
      <w:proofErr w:type="spellStart"/>
      <w:r w:rsidRPr="002B1436">
        <w:rPr>
          <w:iCs/>
          <w:szCs w:val="24"/>
          <w:highlight w:val="yellow"/>
        </w:rPr>
        <w:t>GoOs</w:t>
      </w:r>
      <w:proofErr w:type="spellEnd"/>
      <w:r w:rsidRPr="002B1436">
        <w:rPr>
          <w:iCs/>
          <w:szCs w:val="24"/>
          <w:highlight w:val="yellow"/>
        </w:rPr>
        <w:t xml:space="preserve"> to support the volume of renewable supply in your contract. </w:t>
      </w:r>
    </w:p>
    <w:p w:rsidR="005B214E" w:rsidRPr="002B1436" w:rsidRDefault="005B214E" w:rsidP="005B214E">
      <w:pPr>
        <w:numPr>
          <w:ilvl w:val="0"/>
          <w:numId w:val="78"/>
        </w:numPr>
        <w:spacing w:line="240" w:lineRule="auto"/>
        <w:rPr>
          <w:highlight w:val="yellow"/>
        </w:rPr>
      </w:pPr>
      <w:r w:rsidRPr="002B1436">
        <w:rPr>
          <w:b/>
          <w:iCs/>
          <w:szCs w:val="24"/>
          <w:highlight w:val="yellow"/>
        </w:rPr>
        <w:t>LECS:</w:t>
      </w:r>
      <w:r w:rsidRPr="002B1436">
        <w:rPr>
          <w:iCs/>
          <w:szCs w:val="24"/>
          <w:highlight w:val="yellow"/>
        </w:rPr>
        <w:t xml:space="preserve"> Any LECS associated with this electricity must also be taken out of use to prevent re-sale to another party and double-counting.</w:t>
      </w:r>
      <w:r w:rsidRPr="002B1436">
        <w:rPr>
          <w:highlight w:val="yellow"/>
        </w:rPr>
        <w:t xml:space="preserve"> </w:t>
      </w:r>
      <w:r w:rsidRPr="002B1436">
        <w:rPr>
          <w:iCs/>
          <w:szCs w:val="24"/>
          <w:highlight w:val="yellow"/>
        </w:rPr>
        <w:t>This includes British and non-British generation.</w:t>
      </w:r>
    </w:p>
    <w:p w:rsidR="005B214E" w:rsidRPr="002B1436" w:rsidRDefault="005B214E" w:rsidP="005B214E">
      <w:pPr>
        <w:numPr>
          <w:ilvl w:val="1"/>
          <w:numId w:val="78"/>
        </w:numPr>
        <w:spacing w:line="240" w:lineRule="auto"/>
        <w:rPr>
          <w:highlight w:val="yellow"/>
        </w:rPr>
      </w:pPr>
      <w:r w:rsidRPr="002B1436">
        <w:rPr>
          <w:iCs/>
          <w:szCs w:val="24"/>
          <w:highlight w:val="yellow"/>
        </w:rPr>
        <w:t>If your organisation falls under the Climate Change Levy (CCL), then your supplier should continue to “redeem” the LECs so that you may benefit from CCL discount. This also takes the LECs out of use.</w:t>
      </w:r>
    </w:p>
    <w:p w:rsidR="005B214E" w:rsidRPr="002B1436" w:rsidRDefault="005B214E" w:rsidP="005B214E">
      <w:pPr>
        <w:numPr>
          <w:ilvl w:val="1"/>
          <w:numId w:val="78"/>
        </w:numPr>
        <w:spacing w:line="240" w:lineRule="auto"/>
        <w:rPr>
          <w:highlight w:val="yellow"/>
        </w:rPr>
      </w:pPr>
      <w:r w:rsidRPr="002B1436">
        <w:rPr>
          <w:iCs/>
          <w:szCs w:val="24"/>
          <w:highlight w:val="yellow"/>
        </w:rPr>
        <w:t xml:space="preserve">If </w:t>
      </w:r>
      <w:r w:rsidRPr="002B1436">
        <w:rPr>
          <w:iCs/>
          <w:highlight w:val="yellow"/>
        </w:rPr>
        <w:t>you cannot benefit from the discount, for example, because you fall under a Climate Change Agreement (CCA), then your supplier cannot redeem the LECs on your behalf but must instead “retire” them to ensure they cannot be used by another party.</w:t>
      </w:r>
    </w:p>
    <w:p w:rsidR="005B214E" w:rsidRPr="002B1436" w:rsidRDefault="005B214E" w:rsidP="005B214E">
      <w:pPr>
        <w:numPr>
          <w:ilvl w:val="1"/>
          <w:numId w:val="78"/>
        </w:numPr>
        <w:spacing w:line="240" w:lineRule="auto"/>
        <w:rPr>
          <w:highlight w:val="yellow"/>
        </w:rPr>
      </w:pPr>
      <w:r w:rsidRPr="002B1436">
        <w:rPr>
          <w:highlight w:val="yellow"/>
        </w:rPr>
        <w:t xml:space="preserve">Where electricity generated </w:t>
      </w:r>
      <w:r w:rsidRPr="002B1436">
        <w:rPr>
          <w:i/>
          <w:highlight w:val="yellow"/>
        </w:rPr>
        <w:t>outside</w:t>
      </w:r>
      <w:r w:rsidRPr="002B1436">
        <w:rPr>
          <w:highlight w:val="yellow"/>
        </w:rPr>
        <w:t xml:space="preserve"> Britain is being supplied, the suppliers should use LECs along with </w:t>
      </w:r>
      <w:proofErr w:type="spellStart"/>
      <w:r w:rsidRPr="002B1436">
        <w:rPr>
          <w:highlight w:val="yellow"/>
        </w:rPr>
        <w:t>GoOs</w:t>
      </w:r>
      <w:proofErr w:type="spellEnd"/>
      <w:r w:rsidRPr="002B1436">
        <w:rPr>
          <w:highlight w:val="yellow"/>
        </w:rPr>
        <w:t>, redeeming or retiring the LECs as above. If LECs do not exist, suppliers must hold evidence that the electricity referred to in the REGOs was supplied to Britain. Evidence should be similar to that used to support LECs sourced from outside Britain. However, this only applies where LECs do not exist for the electricity in question.</w:t>
      </w:r>
    </w:p>
    <w:p w:rsidR="005B214E" w:rsidRPr="002B1436" w:rsidRDefault="005B214E" w:rsidP="005B214E">
      <w:pPr>
        <w:rPr>
          <w:highlight w:val="yellow"/>
        </w:rPr>
      </w:pPr>
      <w:r w:rsidRPr="002B1436">
        <w:rPr>
          <w:highlight w:val="yellow"/>
        </w:rPr>
        <w:lastRenderedPageBreak/>
        <w:t xml:space="preserve">If these criteria are met, then you may apply the emission rate appropriate to the method of generation reflected in the certificate. For most types of renewable generation, e.g. solar and wind, this will be a zero emissions factor. However, REGOs are also issued for electricity generated by burning biomass, biodegradable industrial and municipal waste, landfill gas, sewage gas and biogas. In these cases, the carbon dioxide generated would be reported outside the scopes under “biogenic emissions,” while any methane or nitrous oxide from the combustion </w:t>
      </w:r>
      <w:proofErr w:type="gramStart"/>
      <w:r w:rsidRPr="002B1436">
        <w:rPr>
          <w:highlight w:val="yellow"/>
        </w:rPr>
        <w:t>process  would</w:t>
      </w:r>
      <w:proofErr w:type="gramEnd"/>
      <w:r w:rsidRPr="002B1436">
        <w:rPr>
          <w:highlight w:val="yellow"/>
        </w:rPr>
        <w:t xml:space="preserve"> be reported in Scope 2. The relative amount of these emissions would be specific to the electricity generation technology and therefore organisations will have to contact their certificate suppliers for an appropriate emission factor to apply.</w:t>
      </w:r>
      <w:r w:rsidRPr="002B1436">
        <w:rPr>
          <w:rStyle w:val="FootnoteReference"/>
          <w:highlight w:val="yellow"/>
        </w:rPr>
        <w:footnoteReference w:id="86"/>
      </w:r>
    </w:p>
    <w:p w:rsidR="005B214E" w:rsidRPr="002B1436" w:rsidRDefault="005B214E" w:rsidP="005B214E">
      <w:pPr>
        <w:rPr>
          <w:b/>
          <w:highlight w:val="yellow"/>
        </w:rPr>
      </w:pPr>
      <w:r w:rsidRPr="002B1436">
        <w:rPr>
          <w:b/>
          <w:highlight w:val="yellow"/>
        </w:rPr>
        <w:t>Using fuel mix disclosure and tariff information</w:t>
      </w:r>
    </w:p>
    <w:p w:rsidR="005B214E" w:rsidRPr="002B1436" w:rsidRDefault="005B214E" w:rsidP="005B214E">
      <w:pPr>
        <w:rPr>
          <w:highlight w:val="yellow"/>
        </w:rPr>
      </w:pPr>
      <w:r w:rsidRPr="002B1436">
        <w:rPr>
          <w:highlight w:val="yellow"/>
        </w:rPr>
        <w:t xml:space="preserve">In the UK, suppliers’ bills carry information showing all the generation methods that make up their electricity supply, along with an overall GHG emission factor for that supply. The overall supply may be divided and packaged into different products or tariffs with individual emission factors. Organisations may use the emission factor estimated for a renewable electricity product if it meets the REGO + LEC criteria given above. </w:t>
      </w:r>
    </w:p>
    <w:p w:rsidR="005B214E" w:rsidRPr="002B1436" w:rsidRDefault="00E059C4" w:rsidP="005B214E">
      <w:pPr>
        <w:rPr>
          <w:b/>
          <w:highlight w:val="yellow"/>
        </w:rPr>
      </w:pPr>
      <w:r w:rsidRPr="002B1436">
        <w:rPr>
          <w:b/>
          <w:highlight w:val="yellow"/>
        </w:rPr>
        <w:t>M</w:t>
      </w:r>
      <w:r w:rsidR="005B214E" w:rsidRPr="002B1436">
        <w:rPr>
          <w:b/>
          <w:highlight w:val="yellow"/>
        </w:rPr>
        <w:t xml:space="preserve">arket-based Scope 2 </w:t>
      </w:r>
      <w:r w:rsidRPr="002B1436">
        <w:rPr>
          <w:b/>
          <w:highlight w:val="yellow"/>
        </w:rPr>
        <w:t>emissions</w:t>
      </w:r>
      <w:r w:rsidR="00EE5A1D" w:rsidRPr="002B1436">
        <w:rPr>
          <w:b/>
          <w:highlight w:val="yellow"/>
        </w:rPr>
        <w:t xml:space="preserve"> and the residual mix</w:t>
      </w:r>
    </w:p>
    <w:p w:rsidR="00A528E8" w:rsidRPr="002B1436" w:rsidRDefault="00A528E8" w:rsidP="00A528E8">
      <w:pPr>
        <w:rPr>
          <w:highlight w:val="yellow"/>
        </w:rPr>
      </w:pPr>
      <w:r w:rsidRPr="002B1436">
        <w:rPr>
          <w:highlight w:val="yellow"/>
        </w:rPr>
        <w:t>A</w:t>
      </w:r>
      <w:r w:rsidR="00E059C4" w:rsidRPr="002B1436">
        <w:rPr>
          <w:highlight w:val="yellow"/>
        </w:rPr>
        <w:t xml:space="preserve">ccounting for purchased electricity in this way is known as taking a </w:t>
      </w:r>
      <w:r w:rsidRPr="002B1436">
        <w:rPr>
          <w:highlight w:val="yellow"/>
        </w:rPr>
        <w:t xml:space="preserve">market-based approach. This will only apply where: consumers have a choice of electricity product or supplier; electricity is tracked through certificates to enable disclosure, and/or where electricity suppliers disclose the GHG-intensity of their supply. Many electricity markets use a combination of information tracking and labelling systems to allocate GHG emission rate claims to energy consumers on the basis of the contracts that they have in place. </w:t>
      </w:r>
    </w:p>
    <w:p w:rsidR="00697ED8" w:rsidRPr="002B1436" w:rsidRDefault="005B214E" w:rsidP="005B214E">
      <w:pPr>
        <w:rPr>
          <w:highlight w:val="yellow"/>
        </w:rPr>
      </w:pPr>
      <w:r w:rsidRPr="002B1436">
        <w:rPr>
          <w:highlight w:val="yellow"/>
        </w:rPr>
        <w:t xml:space="preserve">To calculate a market-based Scope 2 figure, suitable for reporting net emissions, the reporting organisation would </w:t>
      </w:r>
      <w:r w:rsidR="0030601E" w:rsidRPr="002B1436">
        <w:rPr>
          <w:highlight w:val="yellow"/>
        </w:rPr>
        <w:t xml:space="preserve">multiply the number of </w:t>
      </w:r>
      <w:r w:rsidR="0040731C">
        <w:rPr>
          <w:highlight w:val="yellow"/>
        </w:rPr>
        <w:t>k</w:t>
      </w:r>
      <w:r w:rsidRPr="002B1436">
        <w:rPr>
          <w:highlight w:val="yellow"/>
        </w:rPr>
        <w:t xml:space="preserve">Wh of purchased </w:t>
      </w:r>
      <w:r w:rsidR="00A26A7B" w:rsidRPr="002B1436">
        <w:rPr>
          <w:highlight w:val="yellow"/>
        </w:rPr>
        <w:t xml:space="preserve">renewable </w:t>
      </w:r>
      <w:r w:rsidRPr="002B1436">
        <w:rPr>
          <w:highlight w:val="yellow"/>
        </w:rPr>
        <w:t xml:space="preserve">electricity that meets the criteria </w:t>
      </w:r>
      <w:r w:rsidR="00E059C4" w:rsidRPr="002B1436">
        <w:rPr>
          <w:highlight w:val="yellow"/>
        </w:rPr>
        <w:t xml:space="preserve">above </w:t>
      </w:r>
      <w:r w:rsidRPr="002B1436">
        <w:rPr>
          <w:highlight w:val="yellow"/>
        </w:rPr>
        <w:t>by the appropriate emissions factor</w:t>
      </w:r>
      <w:r w:rsidR="00A26A7B" w:rsidRPr="002B1436">
        <w:rPr>
          <w:highlight w:val="yellow"/>
        </w:rPr>
        <w:t xml:space="preserve"> (zero in many cases)</w:t>
      </w:r>
      <w:r w:rsidRPr="002B1436">
        <w:rPr>
          <w:highlight w:val="yellow"/>
        </w:rPr>
        <w:t xml:space="preserve">. Many organisations only purchase renewable electricity to cover a portion of their overall electricity consumption. In this case, they will estimate the rest of their emissions using a residual mix factor in order to produce a total market-based figure. </w:t>
      </w:r>
      <w:r w:rsidRPr="002B1436">
        <w:rPr>
          <w:rFonts w:cs="Arial"/>
          <w:szCs w:val="24"/>
          <w:highlight w:val="yellow"/>
        </w:rPr>
        <w:t xml:space="preserve">A residual mix reflects the generation sources that are left (residual) after the contracts for particular types of generation have been accounted for, and is a critical data source in ensuring complete and accurate allocation of emissions under a market-based method. </w:t>
      </w:r>
    </w:p>
    <w:p w:rsidR="00BB1B11" w:rsidRPr="002B1436" w:rsidRDefault="005B214E" w:rsidP="005B214E">
      <w:pPr>
        <w:rPr>
          <w:highlight w:val="yellow"/>
        </w:rPr>
      </w:pPr>
      <w:r w:rsidRPr="002B1436">
        <w:rPr>
          <w:rFonts w:cs="Arial"/>
          <w:szCs w:val="24"/>
          <w:highlight w:val="yellow"/>
        </w:rPr>
        <w:t>The UK residual mix can be found</w:t>
      </w:r>
      <w:r w:rsidR="00697ED8" w:rsidRPr="002B1436">
        <w:rPr>
          <w:rFonts w:cs="Arial"/>
          <w:szCs w:val="24"/>
          <w:highlight w:val="yellow"/>
        </w:rPr>
        <w:t xml:space="preserve"> in the</w:t>
      </w:r>
      <w:r w:rsidRPr="002B1436">
        <w:rPr>
          <w:rFonts w:cs="Arial"/>
          <w:szCs w:val="24"/>
          <w:highlight w:val="yellow"/>
        </w:rPr>
        <w:t xml:space="preserve"> </w:t>
      </w:r>
      <w:hyperlink r:id="rId79" w:history="1">
        <w:r w:rsidR="00697ED8" w:rsidRPr="002B1436">
          <w:rPr>
            <w:rStyle w:val="Hyperlink"/>
            <w:rFonts w:eastAsia="Times New Roman"/>
            <w:szCs w:val="24"/>
            <w:highlight w:val="yellow"/>
          </w:rPr>
          <w:t>UK Fuel Mix Disclosure Data Table</w:t>
        </w:r>
      </w:hyperlink>
      <w:r w:rsidRPr="002B1436">
        <w:rPr>
          <w:highlight w:val="yellow"/>
        </w:rPr>
        <w:t>.</w:t>
      </w:r>
      <w:r w:rsidR="00697ED8" w:rsidRPr="002B1436">
        <w:rPr>
          <w:highlight w:val="yellow"/>
        </w:rPr>
        <w:t xml:space="preserve"> The residual mix factor can be calculated by multiplying the fraction supplied by each generation </w:t>
      </w:r>
      <w:r w:rsidR="00697ED8" w:rsidRPr="002B1436">
        <w:rPr>
          <w:highlight w:val="yellow"/>
        </w:rPr>
        <w:lastRenderedPageBreak/>
        <w:t xml:space="preserve">method given in Paragraph 2 of this table by the official emission factor for that generation method given in Paragraph 3, and then totalling. </w:t>
      </w:r>
      <w:r w:rsidR="005D6D80" w:rsidRPr="002B1436">
        <w:rPr>
          <w:highlight w:val="yellow"/>
        </w:rPr>
        <w:t xml:space="preserve">An example is shown below in </w:t>
      </w:r>
      <w:r w:rsidR="005D6D80" w:rsidRPr="002B1436">
        <w:rPr>
          <w:highlight w:val="yellow"/>
        </w:rPr>
        <w:fldChar w:fldCharType="begin"/>
      </w:r>
      <w:r w:rsidR="005D6D80" w:rsidRPr="002B1436">
        <w:rPr>
          <w:highlight w:val="yellow"/>
        </w:rPr>
        <w:instrText xml:space="preserve"> REF _Ref380503131 \h </w:instrText>
      </w:r>
      <w:r w:rsidR="00E95283">
        <w:rPr>
          <w:highlight w:val="yellow"/>
        </w:rPr>
        <w:instrText xml:space="preserve"> \* MERGEFORMAT </w:instrText>
      </w:r>
      <w:r w:rsidR="005D6D80" w:rsidRPr="002B1436">
        <w:rPr>
          <w:highlight w:val="yellow"/>
        </w:rPr>
      </w:r>
      <w:r w:rsidR="005D6D80" w:rsidRPr="002B1436">
        <w:rPr>
          <w:highlight w:val="yellow"/>
        </w:rPr>
        <w:fldChar w:fldCharType="separate"/>
      </w:r>
      <w:r w:rsidR="005D6D80" w:rsidRPr="002B1436">
        <w:rPr>
          <w:highlight w:val="yellow"/>
        </w:rPr>
        <w:t xml:space="preserve">Table </w:t>
      </w:r>
      <w:r w:rsidR="005D6D80" w:rsidRPr="002B1436">
        <w:rPr>
          <w:noProof/>
          <w:highlight w:val="yellow"/>
        </w:rPr>
        <w:t>1</w:t>
      </w:r>
      <w:r w:rsidR="005D6D80" w:rsidRPr="002B1436">
        <w:rPr>
          <w:highlight w:val="yellow"/>
        </w:rPr>
        <w:fldChar w:fldCharType="end"/>
      </w:r>
      <w:r w:rsidR="005D6D80" w:rsidRPr="002B1436">
        <w:rPr>
          <w:highlight w:val="yellow"/>
        </w:rPr>
        <w:t>.</w:t>
      </w:r>
    </w:p>
    <w:p w:rsidR="005D6D80" w:rsidRPr="002B1436" w:rsidRDefault="005D6D80" w:rsidP="002B1436">
      <w:pPr>
        <w:pStyle w:val="Caption"/>
        <w:rPr>
          <w:highlight w:val="yellow"/>
        </w:rPr>
      </w:pPr>
      <w:bookmarkStart w:id="326" w:name="_Ref380503131"/>
      <w:bookmarkStart w:id="327" w:name="_Ref380504307"/>
      <w:r w:rsidRPr="002B1436">
        <w:rPr>
          <w:highlight w:val="yellow"/>
        </w:rPr>
        <w:t xml:space="preserve">Table </w:t>
      </w:r>
      <w:r w:rsidRPr="002B1436">
        <w:rPr>
          <w:highlight w:val="yellow"/>
        </w:rPr>
        <w:fldChar w:fldCharType="begin"/>
      </w:r>
      <w:r w:rsidRPr="002B1436">
        <w:rPr>
          <w:highlight w:val="yellow"/>
        </w:rPr>
        <w:instrText xml:space="preserve"> SEQ Table \* ARABIC </w:instrText>
      </w:r>
      <w:r w:rsidRPr="002B1436">
        <w:rPr>
          <w:highlight w:val="yellow"/>
        </w:rPr>
        <w:fldChar w:fldCharType="separate"/>
      </w:r>
      <w:r w:rsidRPr="002B1436">
        <w:rPr>
          <w:noProof/>
          <w:highlight w:val="yellow"/>
        </w:rPr>
        <w:t>1</w:t>
      </w:r>
      <w:r w:rsidRPr="002B1436">
        <w:rPr>
          <w:highlight w:val="yellow"/>
        </w:rPr>
        <w:fldChar w:fldCharType="end"/>
      </w:r>
      <w:bookmarkEnd w:id="326"/>
      <w:r w:rsidRPr="002B1436">
        <w:rPr>
          <w:highlight w:val="yellow"/>
        </w:rPr>
        <w:t xml:space="preserve"> - Example residual mix emission factor calculation</w:t>
      </w:r>
      <w:bookmarkEnd w:id="327"/>
    </w:p>
    <w:tbl>
      <w:tblPr>
        <w:tblStyle w:val="TableGrid1"/>
        <w:tblW w:w="0" w:type="auto"/>
        <w:tblLook w:val="04A0" w:firstRow="1" w:lastRow="0" w:firstColumn="1" w:lastColumn="0" w:noHBand="0" w:noVBand="1"/>
      </w:tblPr>
      <w:tblGrid>
        <w:gridCol w:w="2463"/>
        <w:gridCol w:w="2323"/>
        <w:gridCol w:w="2410"/>
        <w:gridCol w:w="2658"/>
      </w:tblGrid>
      <w:tr w:rsidR="006A1E73" w:rsidRPr="00E95283" w:rsidTr="002B1436">
        <w:tc>
          <w:tcPr>
            <w:tcW w:w="2463" w:type="dxa"/>
            <w:tcBorders>
              <w:top w:val="nil"/>
              <w:left w:val="nil"/>
              <w:bottom w:val="single" w:sz="4" w:space="0" w:color="auto"/>
              <w:right w:val="single" w:sz="4" w:space="0" w:color="auto"/>
            </w:tcBorders>
            <w:vAlign w:val="center"/>
          </w:tcPr>
          <w:p w:rsidR="006A1E73" w:rsidRPr="002B1436" w:rsidRDefault="006A1E73" w:rsidP="006A1E73">
            <w:pPr>
              <w:rPr>
                <w:rFonts w:cs="Arial"/>
                <w:b/>
                <w:szCs w:val="24"/>
                <w:highlight w:val="yellow"/>
              </w:rPr>
            </w:pPr>
          </w:p>
        </w:tc>
        <w:tc>
          <w:tcPr>
            <w:tcW w:w="2323" w:type="dxa"/>
            <w:tcBorders>
              <w:left w:val="single" w:sz="4" w:space="0" w:color="auto"/>
            </w:tcBorders>
            <w:vAlign w:val="center"/>
          </w:tcPr>
          <w:p w:rsidR="006A1E73" w:rsidRPr="002B1436" w:rsidRDefault="006A1E73" w:rsidP="00781D28">
            <w:pPr>
              <w:pStyle w:val="Default"/>
              <w:rPr>
                <w:rFonts w:ascii="Arial" w:hAnsi="Arial"/>
                <w:bCs/>
                <w:highlight w:val="yellow"/>
                <w:lang w:eastAsia="en-GB"/>
              </w:rPr>
            </w:pPr>
            <w:r w:rsidRPr="002B1436">
              <w:rPr>
                <w:bCs/>
                <w:highlight w:val="yellow"/>
                <w:lang w:eastAsia="en-GB"/>
              </w:rPr>
              <w:t>Column 1</w:t>
            </w:r>
          </w:p>
        </w:tc>
        <w:tc>
          <w:tcPr>
            <w:tcW w:w="2410" w:type="dxa"/>
            <w:vAlign w:val="center"/>
          </w:tcPr>
          <w:p w:rsidR="006A1E73" w:rsidRPr="002B1436" w:rsidRDefault="006A1E73" w:rsidP="006A1E73">
            <w:pPr>
              <w:pStyle w:val="Default"/>
              <w:rPr>
                <w:rFonts w:ascii="Arial" w:hAnsi="Arial"/>
                <w:bCs/>
                <w:highlight w:val="yellow"/>
                <w:lang w:eastAsia="en-GB"/>
              </w:rPr>
            </w:pPr>
            <w:r w:rsidRPr="002B1436">
              <w:rPr>
                <w:bCs/>
                <w:highlight w:val="yellow"/>
                <w:lang w:eastAsia="en-GB"/>
              </w:rPr>
              <w:t>Column 2</w:t>
            </w:r>
          </w:p>
        </w:tc>
        <w:tc>
          <w:tcPr>
            <w:tcW w:w="2658" w:type="dxa"/>
            <w:vAlign w:val="center"/>
          </w:tcPr>
          <w:p w:rsidR="006A1E73" w:rsidRPr="002B1436" w:rsidRDefault="006A1E73" w:rsidP="00781D28">
            <w:pPr>
              <w:rPr>
                <w:rFonts w:ascii="Arial" w:hAnsi="Arial" w:cs="Arial"/>
                <w:bCs/>
                <w:color w:val="000000"/>
                <w:szCs w:val="24"/>
                <w:highlight w:val="yellow"/>
                <w:lang w:eastAsia="en-GB"/>
              </w:rPr>
            </w:pPr>
            <w:r w:rsidRPr="002B1436">
              <w:rPr>
                <w:rFonts w:cs="Arial"/>
                <w:bCs/>
                <w:color w:val="000000"/>
                <w:szCs w:val="24"/>
                <w:highlight w:val="yellow"/>
                <w:lang w:eastAsia="en-GB"/>
              </w:rPr>
              <w:t xml:space="preserve">Column 3 = Column 1 x Column </w:t>
            </w:r>
            <w:r w:rsidR="00ED4372" w:rsidRPr="002B1436">
              <w:rPr>
                <w:rFonts w:cs="Arial"/>
                <w:bCs/>
                <w:color w:val="000000"/>
                <w:szCs w:val="24"/>
                <w:highlight w:val="yellow"/>
                <w:lang w:eastAsia="en-GB"/>
              </w:rPr>
              <w:t>2</w:t>
            </w:r>
          </w:p>
        </w:tc>
      </w:tr>
      <w:tr w:rsidR="00DE3950" w:rsidRPr="00E95283" w:rsidTr="002B1436">
        <w:tc>
          <w:tcPr>
            <w:tcW w:w="2463" w:type="dxa"/>
            <w:tcBorders>
              <w:top w:val="single" w:sz="4" w:space="0" w:color="auto"/>
            </w:tcBorders>
            <w:vAlign w:val="center"/>
          </w:tcPr>
          <w:p w:rsidR="00DE3950" w:rsidRPr="002B1436" w:rsidRDefault="00DE3950" w:rsidP="00781D28">
            <w:pPr>
              <w:rPr>
                <w:rFonts w:ascii="Arial" w:hAnsi="Arial" w:cs="Arial"/>
                <w:b/>
                <w:szCs w:val="24"/>
                <w:highlight w:val="yellow"/>
              </w:rPr>
            </w:pPr>
            <w:r w:rsidRPr="002B1436">
              <w:rPr>
                <w:rFonts w:cs="Arial"/>
                <w:b/>
                <w:szCs w:val="24"/>
                <w:highlight w:val="yellow"/>
              </w:rPr>
              <w:t>Energy Source</w:t>
            </w:r>
          </w:p>
        </w:tc>
        <w:tc>
          <w:tcPr>
            <w:tcW w:w="2323" w:type="dxa"/>
            <w:vAlign w:val="center"/>
          </w:tcPr>
          <w:p w:rsidR="00DE3950" w:rsidRPr="002B1436" w:rsidRDefault="005E16E3" w:rsidP="00781D28">
            <w:pPr>
              <w:autoSpaceDE w:val="0"/>
              <w:autoSpaceDN w:val="0"/>
              <w:adjustRightInd w:val="0"/>
              <w:rPr>
                <w:rFonts w:ascii="Arial" w:hAnsi="Arial" w:cs="Arial"/>
                <w:szCs w:val="24"/>
                <w:highlight w:val="yellow"/>
              </w:rPr>
            </w:pPr>
            <w:r w:rsidRPr="002B1436">
              <w:rPr>
                <w:rFonts w:cs="Arial"/>
                <w:b/>
                <w:bCs/>
                <w:color w:val="000000"/>
                <w:szCs w:val="24"/>
                <w:highlight w:val="yellow"/>
                <w:lang w:eastAsia="en-GB"/>
              </w:rPr>
              <w:t>Residual Fuel M</w:t>
            </w:r>
            <w:r w:rsidR="00DE3950" w:rsidRPr="002B1436">
              <w:rPr>
                <w:rFonts w:cs="Arial"/>
                <w:b/>
                <w:bCs/>
                <w:color w:val="000000"/>
                <w:szCs w:val="24"/>
                <w:highlight w:val="yellow"/>
                <w:lang w:eastAsia="en-GB"/>
              </w:rPr>
              <w:t>ix [%]</w:t>
            </w:r>
          </w:p>
        </w:tc>
        <w:tc>
          <w:tcPr>
            <w:tcW w:w="2410" w:type="dxa"/>
            <w:vAlign w:val="center"/>
          </w:tcPr>
          <w:p w:rsidR="00DE3950" w:rsidRPr="002B1436" w:rsidRDefault="00DE3950" w:rsidP="00781D28">
            <w:pPr>
              <w:pStyle w:val="Default"/>
              <w:rPr>
                <w:rFonts w:ascii="Arial" w:hAnsi="Arial"/>
                <w:highlight w:val="yellow"/>
              </w:rPr>
            </w:pPr>
            <w:r w:rsidRPr="002B1436">
              <w:rPr>
                <w:b/>
                <w:bCs/>
                <w:highlight w:val="yellow"/>
                <w:lang w:eastAsia="en-GB"/>
              </w:rPr>
              <w:t>Carbon Dioxide Emissions [g/kWh</w:t>
            </w:r>
            <w:r w:rsidR="008F408B">
              <w:rPr>
                <w:rStyle w:val="FootnoteReference"/>
                <w:b/>
                <w:bCs/>
                <w:highlight w:val="yellow"/>
                <w:lang w:eastAsia="en-GB"/>
              </w:rPr>
              <w:footnoteReference w:id="87"/>
            </w:r>
            <w:r w:rsidR="008F408B" w:rsidRPr="000D50BF">
              <w:rPr>
                <w:b/>
                <w:bCs/>
                <w:highlight w:val="yellow"/>
                <w:lang w:eastAsia="en-GB"/>
              </w:rPr>
              <w:t>]</w:t>
            </w:r>
          </w:p>
        </w:tc>
        <w:tc>
          <w:tcPr>
            <w:tcW w:w="2658" w:type="dxa"/>
            <w:vAlign w:val="center"/>
          </w:tcPr>
          <w:p w:rsidR="006A1E73" w:rsidRPr="002B1436" w:rsidRDefault="006A1E73" w:rsidP="00781D28">
            <w:pPr>
              <w:autoSpaceDE w:val="0"/>
              <w:autoSpaceDN w:val="0"/>
              <w:adjustRightInd w:val="0"/>
              <w:rPr>
                <w:rFonts w:ascii="Arial" w:hAnsi="Arial" w:cs="Arial"/>
                <w:szCs w:val="24"/>
                <w:highlight w:val="yellow"/>
              </w:rPr>
            </w:pPr>
            <w:r w:rsidRPr="002B1436">
              <w:rPr>
                <w:rFonts w:cs="Arial"/>
                <w:b/>
                <w:bCs/>
                <w:color w:val="000000"/>
                <w:szCs w:val="24"/>
                <w:highlight w:val="yellow"/>
                <w:lang w:eastAsia="en-GB"/>
              </w:rPr>
              <w:t>Residual Fuel Mix x CO2 emissions [g/kWh]</w:t>
            </w:r>
          </w:p>
        </w:tc>
      </w:tr>
      <w:tr w:rsidR="00DE3950" w:rsidRPr="00E95283" w:rsidTr="002B1436">
        <w:tc>
          <w:tcPr>
            <w:tcW w:w="2463" w:type="dxa"/>
            <w:vAlign w:val="center"/>
          </w:tcPr>
          <w:p w:rsidR="00DE3950" w:rsidRPr="002B1436" w:rsidRDefault="00DE3950" w:rsidP="00781D28">
            <w:pPr>
              <w:autoSpaceDE w:val="0"/>
              <w:autoSpaceDN w:val="0"/>
              <w:adjustRightInd w:val="0"/>
              <w:spacing w:before="0" w:after="0" w:line="240" w:lineRule="auto"/>
              <w:rPr>
                <w:rFonts w:ascii="Arial" w:hAnsi="Arial" w:cs="Arial"/>
                <w:szCs w:val="24"/>
                <w:highlight w:val="yellow"/>
              </w:rPr>
            </w:pPr>
            <w:r w:rsidRPr="002B1436">
              <w:rPr>
                <w:rFonts w:cs="Arial"/>
                <w:color w:val="000000"/>
                <w:szCs w:val="24"/>
                <w:highlight w:val="yellow"/>
                <w:lang w:eastAsia="en-GB"/>
              </w:rPr>
              <w:t>Coal</w:t>
            </w:r>
          </w:p>
        </w:tc>
        <w:tc>
          <w:tcPr>
            <w:tcW w:w="2323" w:type="dxa"/>
            <w:vAlign w:val="center"/>
          </w:tcPr>
          <w:p w:rsidR="00DE3950" w:rsidRPr="002B1436" w:rsidRDefault="00DE3950" w:rsidP="00781D28">
            <w:pPr>
              <w:autoSpaceDE w:val="0"/>
              <w:autoSpaceDN w:val="0"/>
              <w:adjustRightInd w:val="0"/>
              <w:spacing w:before="0" w:after="0" w:line="240" w:lineRule="auto"/>
              <w:rPr>
                <w:rFonts w:ascii="Arial" w:hAnsi="Arial" w:cs="Arial"/>
                <w:color w:val="000000"/>
                <w:szCs w:val="24"/>
                <w:highlight w:val="yellow"/>
                <w:lang w:eastAsia="en-GB"/>
              </w:rPr>
            </w:pPr>
            <w:r w:rsidRPr="002B1436">
              <w:rPr>
                <w:rFonts w:cs="Arial"/>
                <w:color w:val="000000"/>
                <w:szCs w:val="24"/>
                <w:highlight w:val="yellow"/>
                <w:lang w:eastAsia="en-GB"/>
              </w:rPr>
              <w:t>52.3</w:t>
            </w:r>
          </w:p>
        </w:tc>
        <w:tc>
          <w:tcPr>
            <w:tcW w:w="2410" w:type="dxa"/>
            <w:vAlign w:val="center"/>
          </w:tcPr>
          <w:p w:rsidR="00DE3950" w:rsidRPr="002B1436" w:rsidRDefault="00DE3950" w:rsidP="00781D28">
            <w:pPr>
              <w:autoSpaceDE w:val="0"/>
              <w:autoSpaceDN w:val="0"/>
              <w:adjustRightInd w:val="0"/>
              <w:rPr>
                <w:rFonts w:ascii="Arial" w:hAnsi="Arial" w:cs="Arial"/>
                <w:szCs w:val="24"/>
                <w:highlight w:val="yellow"/>
              </w:rPr>
            </w:pPr>
            <w:r w:rsidRPr="002B1436">
              <w:rPr>
                <w:rFonts w:cs="Arial"/>
                <w:color w:val="000000"/>
                <w:szCs w:val="24"/>
                <w:highlight w:val="yellow"/>
                <w:lang w:eastAsia="en-GB"/>
              </w:rPr>
              <w:t>910</w:t>
            </w:r>
          </w:p>
        </w:tc>
        <w:tc>
          <w:tcPr>
            <w:tcW w:w="2658" w:type="dxa"/>
            <w:vAlign w:val="center"/>
          </w:tcPr>
          <w:p w:rsidR="00DE3950" w:rsidRPr="002B1436" w:rsidRDefault="006A1E73" w:rsidP="00781D28">
            <w:pPr>
              <w:autoSpaceDE w:val="0"/>
              <w:autoSpaceDN w:val="0"/>
              <w:adjustRightInd w:val="0"/>
              <w:rPr>
                <w:rFonts w:ascii="Arial" w:hAnsi="Arial" w:cs="Arial"/>
                <w:szCs w:val="24"/>
                <w:highlight w:val="yellow"/>
              </w:rPr>
            </w:pPr>
            <w:r w:rsidRPr="002B1436">
              <w:rPr>
                <w:rFonts w:cs="Arial"/>
                <w:szCs w:val="24"/>
                <w:highlight w:val="yellow"/>
              </w:rPr>
              <w:t>476</w:t>
            </w:r>
          </w:p>
        </w:tc>
      </w:tr>
      <w:tr w:rsidR="00DE3950" w:rsidRPr="00E95283" w:rsidTr="002B1436">
        <w:tc>
          <w:tcPr>
            <w:tcW w:w="2463" w:type="dxa"/>
            <w:vAlign w:val="center"/>
          </w:tcPr>
          <w:p w:rsidR="00DE3950" w:rsidRPr="002B1436" w:rsidRDefault="00DE3950" w:rsidP="00781D28">
            <w:pPr>
              <w:rPr>
                <w:rFonts w:ascii="Arial" w:hAnsi="Arial" w:cs="Arial"/>
                <w:szCs w:val="24"/>
                <w:highlight w:val="yellow"/>
              </w:rPr>
            </w:pPr>
            <w:r w:rsidRPr="002B1436">
              <w:rPr>
                <w:rFonts w:cs="Arial"/>
                <w:color w:val="000000"/>
                <w:szCs w:val="24"/>
                <w:highlight w:val="yellow"/>
                <w:lang w:eastAsia="en-GB"/>
              </w:rPr>
              <w:t>Natural Gas</w:t>
            </w:r>
          </w:p>
        </w:tc>
        <w:tc>
          <w:tcPr>
            <w:tcW w:w="2323" w:type="dxa"/>
            <w:vAlign w:val="center"/>
          </w:tcPr>
          <w:p w:rsidR="00DE3950" w:rsidRPr="002B1436" w:rsidRDefault="00DE3950" w:rsidP="00781D28">
            <w:pPr>
              <w:autoSpaceDE w:val="0"/>
              <w:autoSpaceDN w:val="0"/>
              <w:adjustRightInd w:val="0"/>
              <w:rPr>
                <w:rFonts w:ascii="Arial" w:hAnsi="Arial" w:cs="Arial"/>
                <w:szCs w:val="24"/>
                <w:highlight w:val="yellow"/>
              </w:rPr>
            </w:pPr>
            <w:r w:rsidRPr="002B1436">
              <w:rPr>
                <w:rFonts w:cs="Arial"/>
                <w:color w:val="000000"/>
                <w:szCs w:val="24"/>
                <w:highlight w:val="yellow"/>
                <w:lang w:eastAsia="en-GB"/>
              </w:rPr>
              <w:t>30.7</w:t>
            </w:r>
          </w:p>
        </w:tc>
        <w:tc>
          <w:tcPr>
            <w:tcW w:w="2410" w:type="dxa"/>
            <w:vAlign w:val="center"/>
          </w:tcPr>
          <w:p w:rsidR="00DE3950" w:rsidRPr="002B1436" w:rsidRDefault="00DE3950" w:rsidP="00781D28">
            <w:pPr>
              <w:autoSpaceDE w:val="0"/>
              <w:autoSpaceDN w:val="0"/>
              <w:adjustRightInd w:val="0"/>
              <w:rPr>
                <w:rFonts w:ascii="Arial" w:hAnsi="Arial" w:cs="Arial"/>
                <w:szCs w:val="24"/>
                <w:highlight w:val="yellow"/>
              </w:rPr>
            </w:pPr>
            <w:r w:rsidRPr="002B1436">
              <w:rPr>
                <w:rFonts w:cs="Arial"/>
                <w:color w:val="000000"/>
                <w:szCs w:val="24"/>
                <w:highlight w:val="yellow"/>
                <w:lang w:eastAsia="en-GB"/>
              </w:rPr>
              <w:t>390</w:t>
            </w:r>
          </w:p>
        </w:tc>
        <w:tc>
          <w:tcPr>
            <w:tcW w:w="2658" w:type="dxa"/>
            <w:vAlign w:val="center"/>
          </w:tcPr>
          <w:p w:rsidR="00DE3950" w:rsidRPr="002B1436" w:rsidRDefault="006A1E73" w:rsidP="00781D28">
            <w:pPr>
              <w:autoSpaceDE w:val="0"/>
              <w:autoSpaceDN w:val="0"/>
              <w:adjustRightInd w:val="0"/>
              <w:rPr>
                <w:rFonts w:ascii="Arial" w:hAnsi="Arial" w:cs="Arial"/>
                <w:szCs w:val="24"/>
                <w:highlight w:val="yellow"/>
              </w:rPr>
            </w:pPr>
            <w:r w:rsidRPr="002B1436">
              <w:rPr>
                <w:rFonts w:eastAsia="Times New Roman" w:cs="Arial"/>
                <w:color w:val="000000"/>
                <w:szCs w:val="24"/>
                <w:highlight w:val="yellow"/>
                <w:lang w:eastAsia="en-GB"/>
              </w:rPr>
              <w:t>120</w:t>
            </w:r>
          </w:p>
        </w:tc>
      </w:tr>
      <w:tr w:rsidR="00DE3950" w:rsidRPr="00E95283" w:rsidTr="002B1436">
        <w:tc>
          <w:tcPr>
            <w:tcW w:w="2463" w:type="dxa"/>
            <w:vAlign w:val="center"/>
          </w:tcPr>
          <w:p w:rsidR="00DE3950" w:rsidRPr="002B1436" w:rsidRDefault="00DE3950" w:rsidP="00781D28">
            <w:pPr>
              <w:rPr>
                <w:rFonts w:ascii="Arial" w:hAnsi="Arial" w:cs="Arial"/>
                <w:szCs w:val="24"/>
                <w:highlight w:val="yellow"/>
              </w:rPr>
            </w:pPr>
            <w:r w:rsidRPr="002B1436">
              <w:rPr>
                <w:rFonts w:cs="Arial"/>
                <w:color w:val="000000"/>
                <w:szCs w:val="24"/>
                <w:highlight w:val="yellow"/>
                <w:lang w:eastAsia="en-GB"/>
              </w:rPr>
              <w:t>Nuclear</w:t>
            </w:r>
          </w:p>
        </w:tc>
        <w:tc>
          <w:tcPr>
            <w:tcW w:w="2323" w:type="dxa"/>
            <w:vAlign w:val="center"/>
          </w:tcPr>
          <w:p w:rsidR="00DE3950" w:rsidRPr="002B1436" w:rsidRDefault="00DE3950" w:rsidP="00781D28">
            <w:pPr>
              <w:autoSpaceDE w:val="0"/>
              <w:autoSpaceDN w:val="0"/>
              <w:adjustRightInd w:val="0"/>
              <w:spacing w:before="0" w:after="0" w:line="240" w:lineRule="auto"/>
              <w:rPr>
                <w:rFonts w:ascii="Arial" w:hAnsi="Arial" w:cs="Arial"/>
                <w:color w:val="000000"/>
                <w:szCs w:val="24"/>
                <w:highlight w:val="yellow"/>
                <w:lang w:eastAsia="en-GB"/>
              </w:rPr>
            </w:pPr>
            <w:r w:rsidRPr="002B1436">
              <w:rPr>
                <w:rFonts w:cs="Arial"/>
                <w:color w:val="000000"/>
                <w:szCs w:val="24"/>
                <w:highlight w:val="yellow"/>
                <w:lang w:eastAsia="en-GB"/>
              </w:rPr>
              <w:t>4.7</w:t>
            </w:r>
          </w:p>
        </w:tc>
        <w:tc>
          <w:tcPr>
            <w:tcW w:w="2410" w:type="dxa"/>
            <w:vAlign w:val="center"/>
          </w:tcPr>
          <w:p w:rsidR="00DE3950" w:rsidRPr="002B1436" w:rsidRDefault="00DE3950" w:rsidP="00781D28">
            <w:pPr>
              <w:autoSpaceDE w:val="0"/>
              <w:autoSpaceDN w:val="0"/>
              <w:adjustRightInd w:val="0"/>
              <w:rPr>
                <w:rFonts w:ascii="Arial" w:hAnsi="Arial" w:cs="Arial"/>
                <w:szCs w:val="24"/>
                <w:highlight w:val="yellow"/>
              </w:rPr>
            </w:pPr>
            <w:r w:rsidRPr="002B1436">
              <w:rPr>
                <w:rFonts w:cs="Arial"/>
                <w:szCs w:val="24"/>
                <w:highlight w:val="yellow"/>
              </w:rPr>
              <w:t>0</w:t>
            </w:r>
          </w:p>
        </w:tc>
        <w:tc>
          <w:tcPr>
            <w:tcW w:w="2658" w:type="dxa"/>
            <w:vAlign w:val="center"/>
          </w:tcPr>
          <w:p w:rsidR="00DE3950" w:rsidRPr="002B1436" w:rsidRDefault="006A1E73" w:rsidP="00781D28">
            <w:pPr>
              <w:autoSpaceDE w:val="0"/>
              <w:autoSpaceDN w:val="0"/>
              <w:adjustRightInd w:val="0"/>
              <w:rPr>
                <w:rFonts w:ascii="Arial" w:hAnsi="Arial" w:cs="Arial"/>
                <w:szCs w:val="24"/>
                <w:highlight w:val="yellow"/>
              </w:rPr>
            </w:pPr>
            <w:r w:rsidRPr="002B1436">
              <w:rPr>
                <w:rFonts w:cs="Arial"/>
                <w:szCs w:val="24"/>
                <w:highlight w:val="yellow"/>
              </w:rPr>
              <w:t>0</w:t>
            </w:r>
          </w:p>
        </w:tc>
      </w:tr>
      <w:tr w:rsidR="00DE3950" w:rsidRPr="00E95283" w:rsidTr="002B1436">
        <w:tc>
          <w:tcPr>
            <w:tcW w:w="2463" w:type="dxa"/>
            <w:vAlign w:val="center"/>
          </w:tcPr>
          <w:p w:rsidR="00DE3950" w:rsidRPr="002B1436" w:rsidRDefault="00DE3950" w:rsidP="00781D28">
            <w:pPr>
              <w:rPr>
                <w:rFonts w:ascii="Arial" w:hAnsi="Arial" w:cs="Arial"/>
                <w:szCs w:val="24"/>
                <w:highlight w:val="yellow"/>
              </w:rPr>
            </w:pPr>
            <w:r w:rsidRPr="002B1436">
              <w:rPr>
                <w:rFonts w:cs="Arial"/>
                <w:color w:val="000000"/>
                <w:szCs w:val="24"/>
                <w:highlight w:val="yellow"/>
                <w:lang w:eastAsia="en-GB"/>
              </w:rPr>
              <w:t>Renewables</w:t>
            </w:r>
          </w:p>
        </w:tc>
        <w:tc>
          <w:tcPr>
            <w:tcW w:w="2323" w:type="dxa"/>
            <w:vAlign w:val="center"/>
          </w:tcPr>
          <w:p w:rsidR="00DE3950" w:rsidRPr="002B1436" w:rsidRDefault="00DE3950" w:rsidP="00781D28">
            <w:pPr>
              <w:autoSpaceDE w:val="0"/>
              <w:autoSpaceDN w:val="0"/>
              <w:adjustRightInd w:val="0"/>
              <w:spacing w:before="0" w:after="0" w:line="240" w:lineRule="auto"/>
              <w:rPr>
                <w:rFonts w:ascii="Arial" w:hAnsi="Arial" w:cs="Arial"/>
                <w:color w:val="000000"/>
                <w:szCs w:val="24"/>
                <w:highlight w:val="yellow"/>
                <w:lang w:eastAsia="en-GB"/>
              </w:rPr>
            </w:pPr>
            <w:r w:rsidRPr="002B1436">
              <w:rPr>
                <w:rFonts w:cs="Arial"/>
                <w:color w:val="000000"/>
                <w:szCs w:val="24"/>
                <w:highlight w:val="yellow"/>
                <w:lang w:eastAsia="en-GB"/>
              </w:rPr>
              <w:t>8.3</w:t>
            </w:r>
          </w:p>
        </w:tc>
        <w:tc>
          <w:tcPr>
            <w:tcW w:w="2410" w:type="dxa"/>
            <w:vAlign w:val="center"/>
          </w:tcPr>
          <w:p w:rsidR="00DE3950" w:rsidRPr="002B1436" w:rsidRDefault="00DE3950" w:rsidP="00781D28">
            <w:pPr>
              <w:autoSpaceDE w:val="0"/>
              <w:autoSpaceDN w:val="0"/>
              <w:adjustRightInd w:val="0"/>
              <w:rPr>
                <w:rFonts w:ascii="Arial" w:hAnsi="Arial" w:cs="Arial"/>
                <w:szCs w:val="24"/>
                <w:highlight w:val="yellow"/>
              </w:rPr>
            </w:pPr>
            <w:r w:rsidRPr="002B1436">
              <w:rPr>
                <w:rFonts w:cs="Arial"/>
                <w:szCs w:val="24"/>
                <w:highlight w:val="yellow"/>
              </w:rPr>
              <w:t>0</w:t>
            </w:r>
          </w:p>
        </w:tc>
        <w:tc>
          <w:tcPr>
            <w:tcW w:w="2658" w:type="dxa"/>
            <w:vAlign w:val="center"/>
          </w:tcPr>
          <w:p w:rsidR="00DE3950" w:rsidRPr="002B1436" w:rsidRDefault="006A1E73" w:rsidP="00781D28">
            <w:pPr>
              <w:autoSpaceDE w:val="0"/>
              <w:autoSpaceDN w:val="0"/>
              <w:adjustRightInd w:val="0"/>
              <w:rPr>
                <w:rFonts w:ascii="Arial" w:hAnsi="Arial" w:cs="Arial"/>
                <w:szCs w:val="24"/>
                <w:highlight w:val="yellow"/>
              </w:rPr>
            </w:pPr>
            <w:r w:rsidRPr="002B1436">
              <w:rPr>
                <w:rFonts w:cs="Arial"/>
                <w:szCs w:val="24"/>
                <w:highlight w:val="yellow"/>
              </w:rPr>
              <w:t>0</w:t>
            </w:r>
          </w:p>
        </w:tc>
      </w:tr>
      <w:tr w:rsidR="00DE3950" w:rsidRPr="00E95283" w:rsidTr="002B1436">
        <w:tc>
          <w:tcPr>
            <w:tcW w:w="2463" w:type="dxa"/>
            <w:vAlign w:val="center"/>
          </w:tcPr>
          <w:p w:rsidR="00DE3950" w:rsidRPr="002B1436" w:rsidRDefault="00DE3950" w:rsidP="00781D28">
            <w:pPr>
              <w:rPr>
                <w:rFonts w:ascii="Arial" w:hAnsi="Arial" w:cs="Arial"/>
                <w:szCs w:val="24"/>
                <w:highlight w:val="yellow"/>
              </w:rPr>
            </w:pPr>
            <w:r w:rsidRPr="002B1436">
              <w:rPr>
                <w:rFonts w:cs="Arial"/>
                <w:color w:val="000000"/>
                <w:szCs w:val="24"/>
                <w:highlight w:val="yellow"/>
                <w:lang w:eastAsia="en-GB"/>
              </w:rPr>
              <w:t>Other Fuels</w:t>
            </w:r>
          </w:p>
        </w:tc>
        <w:tc>
          <w:tcPr>
            <w:tcW w:w="2323" w:type="dxa"/>
            <w:vAlign w:val="center"/>
          </w:tcPr>
          <w:p w:rsidR="00DE3950" w:rsidRPr="002B1436" w:rsidRDefault="00DE3950" w:rsidP="00781D28">
            <w:pPr>
              <w:autoSpaceDE w:val="0"/>
              <w:autoSpaceDN w:val="0"/>
              <w:adjustRightInd w:val="0"/>
              <w:rPr>
                <w:rFonts w:ascii="Arial" w:hAnsi="Arial" w:cs="Arial"/>
                <w:szCs w:val="24"/>
                <w:highlight w:val="yellow"/>
              </w:rPr>
            </w:pPr>
            <w:r w:rsidRPr="002B1436">
              <w:rPr>
                <w:rFonts w:cs="Arial"/>
                <w:color w:val="000000"/>
                <w:szCs w:val="24"/>
                <w:highlight w:val="yellow"/>
                <w:lang w:eastAsia="en-GB"/>
              </w:rPr>
              <w:t>4.0</w:t>
            </w:r>
          </w:p>
        </w:tc>
        <w:tc>
          <w:tcPr>
            <w:tcW w:w="2410" w:type="dxa"/>
            <w:vAlign w:val="center"/>
          </w:tcPr>
          <w:p w:rsidR="00DE3950" w:rsidRPr="002B1436" w:rsidRDefault="00DE3950" w:rsidP="00781D28">
            <w:pPr>
              <w:autoSpaceDE w:val="0"/>
              <w:autoSpaceDN w:val="0"/>
              <w:adjustRightInd w:val="0"/>
              <w:rPr>
                <w:rFonts w:ascii="Arial" w:hAnsi="Arial" w:cs="Arial"/>
                <w:szCs w:val="24"/>
                <w:highlight w:val="yellow"/>
              </w:rPr>
            </w:pPr>
            <w:r w:rsidRPr="002B1436">
              <w:rPr>
                <w:rFonts w:cs="Arial"/>
                <w:color w:val="000000"/>
                <w:szCs w:val="24"/>
                <w:highlight w:val="yellow"/>
                <w:lang w:eastAsia="en-GB"/>
              </w:rPr>
              <w:t>590</w:t>
            </w:r>
          </w:p>
        </w:tc>
        <w:tc>
          <w:tcPr>
            <w:tcW w:w="2658" w:type="dxa"/>
            <w:vAlign w:val="center"/>
          </w:tcPr>
          <w:p w:rsidR="00DE3950" w:rsidRPr="002B1436" w:rsidRDefault="006A1E73" w:rsidP="00781D28">
            <w:pPr>
              <w:autoSpaceDE w:val="0"/>
              <w:autoSpaceDN w:val="0"/>
              <w:adjustRightInd w:val="0"/>
              <w:rPr>
                <w:rFonts w:ascii="Arial" w:hAnsi="Arial" w:cs="Arial"/>
                <w:szCs w:val="24"/>
                <w:highlight w:val="yellow"/>
              </w:rPr>
            </w:pPr>
            <w:r w:rsidRPr="002B1436">
              <w:rPr>
                <w:rFonts w:cs="Arial"/>
                <w:szCs w:val="24"/>
                <w:highlight w:val="yellow"/>
              </w:rPr>
              <w:t>24</w:t>
            </w:r>
          </w:p>
        </w:tc>
      </w:tr>
      <w:tr w:rsidR="006A1E73" w:rsidRPr="00E95283" w:rsidTr="00E80E7F">
        <w:tc>
          <w:tcPr>
            <w:tcW w:w="9854" w:type="dxa"/>
            <w:gridSpan w:val="4"/>
            <w:vAlign w:val="center"/>
          </w:tcPr>
          <w:p w:rsidR="006A1E73" w:rsidRPr="002B1436" w:rsidRDefault="00781D28" w:rsidP="00781D28">
            <w:pPr>
              <w:rPr>
                <w:rFonts w:ascii="Arial" w:hAnsi="Arial" w:cs="Arial"/>
                <w:b/>
                <w:szCs w:val="24"/>
                <w:highlight w:val="yellow"/>
              </w:rPr>
            </w:pPr>
            <w:r w:rsidRPr="002B1436">
              <w:rPr>
                <w:rFonts w:cs="Arial"/>
                <w:b/>
                <w:szCs w:val="24"/>
                <w:highlight w:val="yellow"/>
              </w:rPr>
              <w:t>Calculate t</w:t>
            </w:r>
            <w:r w:rsidR="006A1E73" w:rsidRPr="002B1436">
              <w:rPr>
                <w:rFonts w:cs="Arial"/>
                <w:b/>
                <w:szCs w:val="24"/>
                <w:highlight w:val="yellow"/>
              </w:rPr>
              <w:t xml:space="preserve">otal </w:t>
            </w:r>
            <w:r w:rsidRPr="002B1436">
              <w:rPr>
                <w:rFonts w:cs="Arial"/>
                <w:b/>
                <w:szCs w:val="24"/>
                <w:highlight w:val="yellow"/>
              </w:rPr>
              <w:t xml:space="preserve">of </w:t>
            </w:r>
            <w:r w:rsidR="006A1E73" w:rsidRPr="002B1436">
              <w:rPr>
                <w:rFonts w:cs="Arial"/>
                <w:b/>
                <w:szCs w:val="24"/>
                <w:highlight w:val="yellow"/>
              </w:rPr>
              <w:t>Column 3 to give residual fuel mix emissions factor = 619 g/kWh</w:t>
            </w:r>
          </w:p>
        </w:tc>
      </w:tr>
    </w:tbl>
    <w:p w:rsidR="005B214E" w:rsidRPr="002B1436" w:rsidRDefault="005B214E" w:rsidP="005B214E">
      <w:pPr>
        <w:rPr>
          <w:highlight w:val="yellow"/>
        </w:rPr>
      </w:pPr>
      <w:r w:rsidRPr="002B1436">
        <w:rPr>
          <w:highlight w:val="yellow"/>
        </w:rPr>
        <w:t>All of these calculations and methodology should be explained in the reporter’s inventory.</w:t>
      </w:r>
    </w:p>
    <w:p w:rsidR="005B214E" w:rsidRPr="002B1436" w:rsidRDefault="005B214E" w:rsidP="005B214E">
      <w:pPr>
        <w:pStyle w:val="Heading4"/>
        <w:rPr>
          <w:highlight w:val="yellow"/>
        </w:rPr>
      </w:pPr>
      <w:r w:rsidRPr="002B1436">
        <w:rPr>
          <w:highlight w:val="yellow"/>
        </w:rPr>
        <w:t xml:space="preserve">How should I report </w:t>
      </w:r>
      <w:r w:rsidR="00A528E8" w:rsidRPr="002B1436">
        <w:rPr>
          <w:highlight w:val="yellow"/>
        </w:rPr>
        <w:t>net</w:t>
      </w:r>
      <w:r w:rsidRPr="002B1436">
        <w:rPr>
          <w:highlight w:val="yellow"/>
        </w:rPr>
        <w:t xml:space="preserve"> Scope 2 figures?</w:t>
      </w:r>
    </w:p>
    <w:p w:rsidR="005B214E" w:rsidRDefault="005B214E" w:rsidP="00307A05">
      <w:r w:rsidRPr="002B1436">
        <w:rPr>
          <w:highlight w:val="yellow"/>
        </w:rPr>
        <w:t xml:space="preserve">A gross location-based Scope 2 figure should always be reported. If the organisation has purchased renewable electricity that meets the criteria given above, </w:t>
      </w:r>
      <w:r w:rsidR="00834B77" w:rsidRPr="002B1436">
        <w:rPr>
          <w:highlight w:val="yellow"/>
        </w:rPr>
        <w:t>or under</w:t>
      </w:r>
      <w:r w:rsidR="00A26A7B" w:rsidRPr="002B1436">
        <w:rPr>
          <w:highlight w:val="yellow"/>
        </w:rPr>
        <w:t xml:space="preserve">taken any of the other emissions reduction actions described in this annex </w:t>
      </w:r>
      <w:r w:rsidRPr="002B1436">
        <w:rPr>
          <w:highlight w:val="yellow"/>
        </w:rPr>
        <w:t xml:space="preserve">then it may additionally report </w:t>
      </w:r>
      <w:r w:rsidR="00834B77" w:rsidRPr="002B1436">
        <w:rPr>
          <w:highlight w:val="yellow"/>
        </w:rPr>
        <w:t xml:space="preserve">a </w:t>
      </w:r>
      <w:r w:rsidRPr="002B1436">
        <w:rPr>
          <w:highlight w:val="yellow"/>
        </w:rPr>
        <w:t>net Scope 2 figure, ref</w:t>
      </w:r>
      <w:r w:rsidR="00A26A7B" w:rsidRPr="002B1436">
        <w:rPr>
          <w:highlight w:val="yellow"/>
        </w:rPr>
        <w:t>lecting the market-based method</w:t>
      </w:r>
      <w:r w:rsidRPr="002B1436">
        <w:rPr>
          <w:highlight w:val="yellow"/>
        </w:rPr>
        <w:t xml:space="preserve"> and</w:t>
      </w:r>
      <w:r w:rsidR="00A26A7B" w:rsidRPr="002B1436">
        <w:rPr>
          <w:highlight w:val="yellow"/>
        </w:rPr>
        <w:t xml:space="preserve"> any</w:t>
      </w:r>
      <w:r w:rsidR="00E059C4" w:rsidRPr="002B1436">
        <w:rPr>
          <w:highlight w:val="yellow"/>
        </w:rPr>
        <w:t xml:space="preserve"> </w:t>
      </w:r>
      <w:r w:rsidRPr="002B1436">
        <w:rPr>
          <w:highlight w:val="yellow"/>
        </w:rPr>
        <w:t>other permissible deductions</w:t>
      </w:r>
      <w:r w:rsidR="00E059C4" w:rsidRPr="002B1436">
        <w:rPr>
          <w:highlight w:val="yellow"/>
        </w:rPr>
        <w:t xml:space="preserve"> listed in this annex.</w:t>
      </w:r>
      <w:r w:rsidRPr="002B1436">
        <w:rPr>
          <w:highlight w:val="yellow"/>
        </w:rPr>
        <w:t xml:space="preserve"> </w:t>
      </w:r>
      <w:r w:rsidR="00A528E8" w:rsidRPr="002B1436">
        <w:rPr>
          <w:highlight w:val="yellow"/>
        </w:rPr>
        <w:t>O</w:t>
      </w:r>
      <w:r w:rsidRPr="002B1436">
        <w:rPr>
          <w:highlight w:val="yellow"/>
        </w:rPr>
        <w:t xml:space="preserve">rganisations that have chosen to follow this voluntary guidance would report using the format shown in </w:t>
      </w:r>
      <w:hyperlink w:anchor="_Annex_H:_Example_1" w:history="1">
        <w:r w:rsidRPr="002B1436">
          <w:rPr>
            <w:rStyle w:val="Hyperlink"/>
            <w:highlight w:val="yellow"/>
          </w:rPr>
          <w:t>Annex H</w:t>
        </w:r>
      </w:hyperlink>
      <w:r w:rsidRPr="002B1436">
        <w:rPr>
          <w:highlight w:val="yellow"/>
        </w:rPr>
        <w:t>.</w:t>
      </w:r>
    </w:p>
    <w:p w:rsidR="00913351" w:rsidRPr="00103388" w:rsidRDefault="00913351" w:rsidP="00EA5B43">
      <w:pPr>
        <w:pStyle w:val="Heading2"/>
      </w:pPr>
      <w:bookmarkStart w:id="328" w:name="_Annex_H:_Example_1"/>
      <w:bookmarkEnd w:id="328"/>
      <w:r w:rsidRPr="006A6CE3">
        <w:br w:type="page"/>
      </w:r>
      <w:bookmarkStart w:id="329" w:name="_Toc358054600"/>
      <w:bookmarkStart w:id="330" w:name="_Toc358060240"/>
      <w:bookmarkStart w:id="331" w:name="_Toc358302313"/>
      <w:bookmarkStart w:id="332" w:name="_Toc380763593"/>
      <w:r w:rsidRPr="002B1436">
        <w:rPr>
          <w:highlight w:val="yellow"/>
        </w:rPr>
        <w:lastRenderedPageBreak/>
        <w:t>Annex H: Example reporting format</w:t>
      </w:r>
      <w:bookmarkEnd w:id="329"/>
      <w:bookmarkEnd w:id="330"/>
      <w:bookmarkEnd w:id="331"/>
      <w:bookmarkEnd w:id="332"/>
    </w:p>
    <w:p w:rsidR="00913351" w:rsidRPr="006A6CE3" w:rsidRDefault="00913351" w:rsidP="007944B7">
      <w:pPr>
        <w:rPr>
          <w:rFonts w:cs="Arial"/>
        </w:rPr>
      </w:pPr>
      <w:r w:rsidRPr="006A6CE3">
        <w:rPr>
          <w:rFonts w:cs="Arial"/>
        </w:rPr>
        <w:t xml:space="preserve">In the example reporting template shown below, Scope 3 categories are shown individually. This gives the detail necessary for users seeking to reduce emissions.  </w:t>
      </w:r>
    </w:p>
    <w:p w:rsidR="00913351" w:rsidRPr="006A6CE3" w:rsidRDefault="00913351" w:rsidP="007944B7">
      <w:pPr>
        <w:rPr>
          <w:rFonts w:cs="Arial"/>
          <w:b/>
          <w:color w:val="76923C"/>
          <w:sz w:val="28"/>
          <w:szCs w:val="28"/>
        </w:rPr>
      </w:pPr>
      <w:r w:rsidRPr="006A6CE3">
        <w:rPr>
          <w:rFonts w:cs="Arial"/>
          <w:b/>
          <w:color w:val="76923C"/>
          <w:sz w:val="28"/>
          <w:szCs w:val="28"/>
        </w:rPr>
        <w:t>Company Information</w:t>
      </w:r>
    </w:p>
    <w:p w:rsidR="00913351" w:rsidRPr="006A6CE3" w:rsidRDefault="00913351" w:rsidP="007944B7">
      <w:pPr>
        <w:rPr>
          <w:rFonts w:cs="Arial"/>
        </w:rPr>
      </w:pPr>
      <w:r w:rsidRPr="006A6CE3">
        <w:rPr>
          <w:rFonts w:cs="Arial"/>
        </w:rPr>
        <w:t>XX is a public limited company, incorporated in the UK.  Registered address is 1 New Street, London, SW1 1AA.</w:t>
      </w:r>
    </w:p>
    <w:p w:rsidR="00913351" w:rsidRPr="006A6CE3" w:rsidRDefault="00913351" w:rsidP="007944B7">
      <w:pPr>
        <w:rPr>
          <w:rFonts w:cs="Arial"/>
          <w:b/>
          <w:color w:val="76923C"/>
          <w:sz w:val="28"/>
          <w:szCs w:val="28"/>
        </w:rPr>
      </w:pPr>
      <w:r w:rsidRPr="006A6CE3">
        <w:rPr>
          <w:rFonts w:cs="Arial"/>
          <w:b/>
          <w:color w:val="76923C"/>
          <w:sz w:val="28"/>
          <w:szCs w:val="28"/>
        </w:rPr>
        <w:t>Reporting period</w:t>
      </w:r>
    </w:p>
    <w:p w:rsidR="00913351" w:rsidRPr="006A6CE3" w:rsidRDefault="00913351" w:rsidP="007944B7">
      <w:pPr>
        <w:rPr>
          <w:rFonts w:cs="Arial"/>
        </w:rPr>
      </w:pPr>
      <w:r w:rsidRPr="006A6CE3">
        <w:rPr>
          <w:rFonts w:cs="Arial"/>
        </w:rPr>
        <w:t xml:space="preserve"> 6 April 2013-5 April 2014</w:t>
      </w:r>
      <w:r w:rsidRPr="006A6CE3">
        <w:rPr>
          <w:rStyle w:val="FootnoteReference"/>
          <w:rFonts w:cs="Arial"/>
          <w:color w:val="000000"/>
        </w:rPr>
        <w:footnoteReference w:id="88"/>
      </w:r>
    </w:p>
    <w:p w:rsidR="00913351" w:rsidRPr="006A6CE3" w:rsidRDefault="00913351" w:rsidP="007944B7">
      <w:pPr>
        <w:rPr>
          <w:rFonts w:cs="Arial"/>
          <w:b/>
          <w:color w:val="76923C"/>
          <w:sz w:val="28"/>
          <w:szCs w:val="28"/>
        </w:rPr>
      </w:pPr>
      <w:r w:rsidRPr="006A6CE3">
        <w:rPr>
          <w:rFonts w:cs="Arial"/>
          <w:b/>
          <w:color w:val="76923C"/>
          <w:sz w:val="28"/>
          <w:szCs w:val="28"/>
        </w:rPr>
        <w:t>Reasons for Change in Emissions</w:t>
      </w:r>
    </w:p>
    <w:p w:rsidR="00913351" w:rsidRPr="006A6CE3" w:rsidRDefault="00913351" w:rsidP="007944B7">
      <w:pPr>
        <w:rPr>
          <w:rFonts w:cs="Arial"/>
        </w:rPr>
      </w:pPr>
      <w:r w:rsidRPr="006A6CE3">
        <w:rPr>
          <w:rFonts w:cs="Arial"/>
        </w:rPr>
        <w:t>Our reported emissions have fallen this year because we have invested in more energy efficient process equipment in our operations.   The Scope 3 categories for which we have reported emissions have changed for the following reasons:</w:t>
      </w:r>
    </w:p>
    <w:p w:rsidR="00913351" w:rsidRPr="006A6CE3" w:rsidRDefault="00913351" w:rsidP="007944B7">
      <w:pPr>
        <w:rPr>
          <w:rFonts w:cs="Arial"/>
        </w:rPr>
      </w:pPr>
      <w:r w:rsidRPr="006A6CE3">
        <w:rPr>
          <w:rFonts w:cs="Arial"/>
          <w:b/>
        </w:rPr>
        <w:t>Purchased goods and services</w:t>
      </w:r>
      <w:r w:rsidRPr="006A6CE3">
        <w:rPr>
          <w:rFonts w:cs="Arial"/>
        </w:rPr>
        <w:t xml:space="preserve"> – We have worked with our suppliers of plastic packaging to reduce the mass of plastic required and this has resulted in the reported reduction in emissions.</w:t>
      </w:r>
    </w:p>
    <w:p w:rsidR="00913351" w:rsidRPr="006A6CE3" w:rsidRDefault="00913351" w:rsidP="007944B7">
      <w:pPr>
        <w:rPr>
          <w:rFonts w:cs="Arial"/>
        </w:rPr>
      </w:pPr>
      <w:r w:rsidRPr="006A6CE3">
        <w:rPr>
          <w:rFonts w:cs="Arial"/>
          <w:b/>
        </w:rPr>
        <w:t>Business travel</w:t>
      </w:r>
      <w:r w:rsidRPr="006A6CE3">
        <w:rPr>
          <w:rFonts w:cs="Arial"/>
        </w:rPr>
        <w:t xml:space="preserve"> – Tighter departmental budgets have led to a reduction in business travel expenditure.</w:t>
      </w:r>
    </w:p>
    <w:p w:rsidR="00913351" w:rsidRPr="006A6CE3" w:rsidRDefault="00913351" w:rsidP="007944B7">
      <w:pPr>
        <w:rPr>
          <w:rFonts w:cs="Arial"/>
        </w:rPr>
      </w:pPr>
      <w:r w:rsidRPr="006A6CE3">
        <w:rPr>
          <w:rFonts w:cs="Arial"/>
          <w:b/>
        </w:rPr>
        <w:t>Employee commuting</w:t>
      </w:r>
      <w:r w:rsidRPr="006A6CE3">
        <w:rPr>
          <w:rFonts w:cs="Arial"/>
        </w:rPr>
        <w:t xml:space="preserve"> – Staff have reported reduced use of cars to get to work and an increase in cycling.</w:t>
      </w:r>
    </w:p>
    <w:p w:rsidR="00913351" w:rsidRPr="006A6CE3" w:rsidRDefault="00913351" w:rsidP="007944B7">
      <w:pPr>
        <w:rPr>
          <w:rFonts w:cs="Arial"/>
        </w:rPr>
      </w:pPr>
      <w:r w:rsidRPr="006A6CE3">
        <w:rPr>
          <w:rFonts w:cs="Arial"/>
          <w:b/>
        </w:rPr>
        <w:t>Waste generated in operations, upstream leased assets, and franchises</w:t>
      </w:r>
      <w:r w:rsidRPr="006A6CE3">
        <w:rPr>
          <w:rFonts w:cs="Arial"/>
        </w:rPr>
        <w:t xml:space="preserve"> – We do not know the reason for these slight changes. </w:t>
      </w:r>
    </w:p>
    <w:p w:rsidR="00913351" w:rsidRPr="006A6CE3" w:rsidRDefault="00913351" w:rsidP="007944B7">
      <w:pPr>
        <w:rPr>
          <w:rFonts w:cs="Arial"/>
          <w:b/>
          <w:color w:val="76923C"/>
          <w:sz w:val="28"/>
          <w:szCs w:val="28"/>
        </w:rPr>
      </w:pPr>
      <w:r w:rsidRPr="006A6CE3">
        <w:rPr>
          <w:rFonts w:cs="Arial"/>
          <w:b/>
          <w:color w:val="76923C"/>
          <w:sz w:val="28"/>
          <w:szCs w:val="28"/>
        </w:rPr>
        <w:t xml:space="preserve">Quantification and Reporting Methodology </w:t>
      </w:r>
    </w:p>
    <w:p w:rsidR="00913351" w:rsidRPr="006A6CE3" w:rsidRDefault="00913351" w:rsidP="007944B7">
      <w:pPr>
        <w:rPr>
          <w:rFonts w:cs="Arial"/>
        </w:rPr>
      </w:pPr>
      <w:r w:rsidRPr="006A6CE3">
        <w:rPr>
          <w:rFonts w:cs="Arial"/>
        </w:rPr>
        <w:t xml:space="preserve">We have followed the 2013 UK Government environmental reporting guidance. We have also used the GHG Protocol Value Chain (Scope 3) Standard, but we are not as yet able to report on all categories that may be relevant. The figures relate to the required elements of each </w:t>
      </w:r>
      <w:r w:rsidR="0043391E">
        <w:rPr>
          <w:rFonts w:cs="Arial"/>
        </w:rPr>
        <w:t>Scope</w:t>
      </w:r>
      <w:r w:rsidRPr="006A6CE3">
        <w:rPr>
          <w:rFonts w:cs="Arial"/>
        </w:rPr>
        <w:t xml:space="preserve"> 3 category rather than the optional elements.</w:t>
      </w:r>
    </w:p>
    <w:p w:rsidR="00913351" w:rsidRPr="006A6CE3" w:rsidRDefault="00913351" w:rsidP="007944B7">
      <w:pPr>
        <w:rPr>
          <w:rFonts w:cs="Arial"/>
        </w:rPr>
      </w:pPr>
      <w:r w:rsidRPr="006A6CE3">
        <w:rPr>
          <w:rFonts w:cs="Arial"/>
        </w:rPr>
        <w:lastRenderedPageBreak/>
        <w:t xml:space="preserve">We have used 2013 UK Government’s Conversion Factors for Company Reporting and the XYZ Emission Factor Database 2013 version </w:t>
      </w:r>
      <w:r w:rsidRPr="00E17B6B">
        <w:rPr>
          <w:rFonts w:cs="Arial"/>
        </w:rPr>
        <w:t>and the GWPs used within that were consistent with those used in the 2013 UK Government Conversion Factors</w:t>
      </w:r>
      <w:r w:rsidRPr="006A6CE3">
        <w:rPr>
          <w:rFonts w:cs="Arial"/>
        </w:rPr>
        <w:t xml:space="preserve">. </w:t>
      </w:r>
    </w:p>
    <w:p w:rsidR="00913351" w:rsidRPr="006A6CE3" w:rsidRDefault="00913351" w:rsidP="007944B7">
      <w:pPr>
        <w:rPr>
          <w:rFonts w:cs="Arial"/>
          <w:b/>
          <w:color w:val="76923C"/>
          <w:sz w:val="28"/>
          <w:szCs w:val="28"/>
        </w:rPr>
      </w:pPr>
      <w:r w:rsidRPr="006A6CE3">
        <w:rPr>
          <w:rFonts w:cs="Arial"/>
          <w:b/>
          <w:color w:val="76923C"/>
          <w:sz w:val="28"/>
          <w:szCs w:val="28"/>
        </w:rPr>
        <w:t xml:space="preserve">Organisational boundary </w:t>
      </w:r>
    </w:p>
    <w:p w:rsidR="00913351" w:rsidRPr="006A6CE3" w:rsidRDefault="00913351" w:rsidP="007944B7">
      <w:pPr>
        <w:rPr>
          <w:rFonts w:cs="Arial"/>
          <w:color w:val="000000"/>
        </w:rPr>
      </w:pPr>
      <w:r w:rsidRPr="006A6CE3">
        <w:rPr>
          <w:rFonts w:cs="Arial"/>
          <w:color w:val="000000"/>
        </w:rPr>
        <w:t>We have used the financial control approach.</w:t>
      </w:r>
    </w:p>
    <w:p w:rsidR="00913351" w:rsidRPr="006A6CE3" w:rsidRDefault="00913351" w:rsidP="007944B7">
      <w:pPr>
        <w:rPr>
          <w:rFonts w:cs="Arial"/>
          <w:b/>
          <w:color w:val="76923C"/>
          <w:sz w:val="28"/>
          <w:szCs w:val="28"/>
        </w:rPr>
      </w:pPr>
      <w:r w:rsidRPr="006A6CE3">
        <w:rPr>
          <w:rFonts w:cs="Arial"/>
          <w:b/>
          <w:color w:val="76923C"/>
          <w:sz w:val="28"/>
          <w:szCs w:val="28"/>
        </w:rPr>
        <w:t>Operational scopes</w:t>
      </w:r>
    </w:p>
    <w:p w:rsidR="00913351" w:rsidRDefault="00913351" w:rsidP="007944B7">
      <w:pPr>
        <w:rPr>
          <w:rFonts w:cs="Arial"/>
        </w:rPr>
      </w:pPr>
      <w:r w:rsidRPr="006A6CE3">
        <w:rPr>
          <w:rFonts w:cs="Arial"/>
          <w:color w:val="000000"/>
        </w:rPr>
        <w:t xml:space="preserve">We have measured our </w:t>
      </w:r>
      <w:r w:rsidR="00685E60">
        <w:rPr>
          <w:rFonts w:cs="Arial"/>
          <w:color w:val="000000"/>
        </w:rPr>
        <w:t>Scope</w:t>
      </w:r>
      <w:r w:rsidRPr="006A6CE3">
        <w:rPr>
          <w:rFonts w:cs="Arial"/>
          <w:color w:val="000000"/>
        </w:rPr>
        <w:t xml:space="preserve"> 1, 2 and certain </w:t>
      </w:r>
      <w:r w:rsidR="00685E60">
        <w:rPr>
          <w:rFonts w:cs="Arial"/>
          <w:color w:val="000000"/>
        </w:rPr>
        <w:t>Scope</w:t>
      </w:r>
      <w:r w:rsidRPr="006A6CE3">
        <w:rPr>
          <w:rFonts w:cs="Arial"/>
          <w:color w:val="000000"/>
        </w:rPr>
        <w:t xml:space="preserve"> 3 emissions. </w:t>
      </w:r>
      <w:r w:rsidRPr="006A6CE3">
        <w:rPr>
          <w:rFonts w:cs="Arial"/>
        </w:rPr>
        <w:t>Where we have not estimated a % for exclusions, it is because we have not carried out this estimation yet.</w:t>
      </w:r>
    </w:p>
    <w:p w:rsidR="00FC7F04" w:rsidRDefault="00FC7F04" w:rsidP="002B1436">
      <w:pPr>
        <w:pStyle w:val="Caption"/>
      </w:pPr>
      <w:r w:rsidRPr="002B1436">
        <w:rPr>
          <w:highlight w:val="yellow"/>
        </w:rPr>
        <w:t xml:space="preserve">Table </w:t>
      </w:r>
      <w:r w:rsidRPr="002B1436">
        <w:rPr>
          <w:highlight w:val="yellow"/>
        </w:rPr>
        <w:fldChar w:fldCharType="begin"/>
      </w:r>
      <w:r w:rsidRPr="002B1436">
        <w:rPr>
          <w:highlight w:val="yellow"/>
        </w:rPr>
        <w:instrText xml:space="preserve"> SEQ Table \* ARABIC </w:instrText>
      </w:r>
      <w:r w:rsidRPr="002B1436">
        <w:rPr>
          <w:highlight w:val="yellow"/>
        </w:rPr>
        <w:fldChar w:fldCharType="separate"/>
      </w:r>
      <w:r w:rsidR="005D6D80" w:rsidRPr="002B1436">
        <w:rPr>
          <w:noProof/>
          <w:highlight w:val="yellow"/>
        </w:rPr>
        <w:t>2</w:t>
      </w:r>
      <w:r w:rsidRPr="002B1436">
        <w:rPr>
          <w:highlight w:val="yellow"/>
        </w:rPr>
        <w:fldChar w:fldCharType="end"/>
      </w:r>
    </w:p>
    <w:tbl>
      <w:tblPr>
        <w:tblW w:w="49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5"/>
        <w:gridCol w:w="1685"/>
        <w:gridCol w:w="1550"/>
        <w:gridCol w:w="1337"/>
        <w:gridCol w:w="1257"/>
        <w:gridCol w:w="1258"/>
      </w:tblGrid>
      <w:tr w:rsidR="00913351" w:rsidRPr="006A6CE3" w:rsidTr="002B1436">
        <w:trPr>
          <w:trHeight w:val="147"/>
        </w:trPr>
        <w:tc>
          <w:tcPr>
            <w:tcW w:w="1396" w:type="pct"/>
          </w:tcPr>
          <w:p w:rsidR="00913351" w:rsidRPr="006A6CE3" w:rsidRDefault="00913351" w:rsidP="00E204D9">
            <w:pPr>
              <w:pStyle w:val="NoSpacing"/>
              <w:rPr>
                <w:rFonts w:ascii="Arial" w:hAnsi="Arial" w:cs="Arial"/>
                <w:b/>
                <w:sz w:val="24"/>
                <w:lang w:bidi="en-US"/>
              </w:rPr>
            </w:pPr>
            <w:r w:rsidRPr="006A6CE3">
              <w:rPr>
                <w:rFonts w:ascii="Arial" w:hAnsi="Arial" w:cs="Arial"/>
                <w:b/>
                <w:sz w:val="24"/>
                <w:lang w:bidi="en-US"/>
              </w:rPr>
              <w:t xml:space="preserve">SCOPE 1 </w:t>
            </w:r>
          </w:p>
          <w:p w:rsidR="00913351" w:rsidRPr="006A6CE3" w:rsidRDefault="00913351" w:rsidP="00E204D9">
            <w:pPr>
              <w:pStyle w:val="NoSpacing"/>
              <w:rPr>
                <w:rFonts w:ascii="Arial" w:hAnsi="Arial" w:cs="Arial"/>
                <w:sz w:val="24"/>
                <w:lang w:bidi="en-US"/>
              </w:rPr>
            </w:pPr>
            <w:r w:rsidRPr="006A6CE3">
              <w:rPr>
                <w:rFonts w:ascii="Arial" w:hAnsi="Arial" w:cs="Arial"/>
                <w:b/>
                <w:sz w:val="24"/>
                <w:lang w:bidi="en-US"/>
              </w:rPr>
              <w:t>in metric tonnes CO2e</w:t>
            </w:r>
          </w:p>
        </w:tc>
        <w:tc>
          <w:tcPr>
            <w:tcW w:w="857" w:type="pct"/>
          </w:tcPr>
          <w:p w:rsidR="00913351" w:rsidRPr="006A6CE3" w:rsidRDefault="00913351" w:rsidP="00E204D9">
            <w:pPr>
              <w:pStyle w:val="NoSpacing"/>
              <w:rPr>
                <w:rFonts w:ascii="Arial" w:hAnsi="Arial" w:cs="Arial"/>
                <w:b/>
                <w:color w:val="000000"/>
                <w:sz w:val="24"/>
                <w:lang w:bidi="en-US"/>
              </w:rPr>
            </w:pPr>
            <w:r w:rsidRPr="006A6CE3">
              <w:rPr>
                <w:rFonts w:ascii="Arial" w:hAnsi="Arial" w:cs="Arial"/>
                <w:b/>
                <w:color w:val="000000"/>
                <w:sz w:val="24"/>
                <w:lang w:bidi="en-US"/>
              </w:rPr>
              <w:t xml:space="preserve"> 2013-2014</w:t>
            </w:r>
          </w:p>
        </w:tc>
        <w:tc>
          <w:tcPr>
            <w:tcW w:w="788" w:type="pct"/>
          </w:tcPr>
          <w:p w:rsidR="00913351" w:rsidRPr="006A6CE3" w:rsidRDefault="00913351" w:rsidP="00E204D9">
            <w:pPr>
              <w:pStyle w:val="NoSpacing"/>
              <w:rPr>
                <w:rFonts w:ascii="Arial" w:hAnsi="Arial" w:cs="Arial"/>
                <w:b/>
                <w:color w:val="000000"/>
                <w:sz w:val="24"/>
                <w:lang w:bidi="en-US"/>
              </w:rPr>
            </w:pPr>
            <w:r w:rsidRPr="006A6CE3">
              <w:rPr>
                <w:rFonts w:ascii="Arial" w:hAnsi="Arial" w:cs="Arial"/>
                <w:b/>
                <w:bCs/>
                <w:sz w:val="24"/>
                <w:lang w:bidi="en-US"/>
              </w:rPr>
              <w:t>Specific exclusions, % this represents for relevant scope (excluding geographic exclusions) &amp; give an explanation</w:t>
            </w:r>
          </w:p>
        </w:tc>
        <w:tc>
          <w:tcPr>
            <w:tcW w:w="680" w:type="pct"/>
          </w:tcPr>
          <w:p w:rsidR="00913351" w:rsidRPr="006A6CE3" w:rsidRDefault="00913351" w:rsidP="00E204D9">
            <w:pPr>
              <w:pStyle w:val="NoSpacing"/>
              <w:rPr>
                <w:rFonts w:ascii="Arial" w:hAnsi="Arial" w:cs="Arial"/>
                <w:b/>
                <w:color w:val="000000"/>
                <w:sz w:val="24"/>
                <w:lang w:bidi="en-US"/>
              </w:rPr>
            </w:pPr>
            <w:r w:rsidRPr="006A6CE3">
              <w:rPr>
                <w:rFonts w:ascii="Arial" w:hAnsi="Arial" w:cs="Arial"/>
                <w:b/>
                <w:color w:val="000000"/>
                <w:sz w:val="24"/>
                <w:lang w:bidi="en-US"/>
              </w:rPr>
              <w:t>% of activity data that is estimated</w:t>
            </w:r>
          </w:p>
        </w:tc>
        <w:tc>
          <w:tcPr>
            <w:tcW w:w="639" w:type="pct"/>
          </w:tcPr>
          <w:p w:rsidR="00913351" w:rsidRPr="006A6CE3" w:rsidRDefault="00913351" w:rsidP="00E204D9">
            <w:pPr>
              <w:pStyle w:val="NoSpacing"/>
              <w:rPr>
                <w:rFonts w:ascii="Arial" w:hAnsi="Arial" w:cs="Arial"/>
                <w:b/>
                <w:color w:val="000000"/>
                <w:sz w:val="24"/>
                <w:lang w:bidi="en-US"/>
              </w:rPr>
            </w:pPr>
            <w:r w:rsidRPr="006A6CE3">
              <w:rPr>
                <w:rFonts w:ascii="Arial" w:hAnsi="Arial" w:cs="Arial"/>
                <w:b/>
                <w:color w:val="000000"/>
                <w:sz w:val="24"/>
                <w:lang w:bidi="en-US"/>
              </w:rPr>
              <w:t>2012-2013</w:t>
            </w:r>
          </w:p>
        </w:tc>
        <w:tc>
          <w:tcPr>
            <w:tcW w:w="639" w:type="pct"/>
          </w:tcPr>
          <w:p w:rsidR="00913351" w:rsidRPr="006A6CE3" w:rsidRDefault="00913351" w:rsidP="00E204D9">
            <w:pPr>
              <w:pStyle w:val="NoSpacing"/>
              <w:rPr>
                <w:rFonts w:ascii="Arial" w:hAnsi="Arial" w:cs="Arial"/>
                <w:b/>
                <w:color w:val="000000"/>
                <w:sz w:val="24"/>
                <w:lang w:bidi="en-US"/>
              </w:rPr>
            </w:pPr>
            <w:r w:rsidRPr="006A6CE3">
              <w:rPr>
                <w:rFonts w:ascii="Arial" w:hAnsi="Arial" w:cs="Arial"/>
                <w:b/>
                <w:color w:val="000000"/>
                <w:sz w:val="24"/>
                <w:lang w:bidi="en-US"/>
              </w:rPr>
              <w:t>2006-2007</w:t>
            </w:r>
          </w:p>
        </w:tc>
      </w:tr>
      <w:tr w:rsidR="00913351" w:rsidRPr="006A6CE3" w:rsidTr="002B1436">
        <w:trPr>
          <w:trHeight w:val="147"/>
        </w:trPr>
        <w:tc>
          <w:tcPr>
            <w:tcW w:w="1396"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 xml:space="preserve">  Gas consumption</w:t>
            </w:r>
          </w:p>
        </w:tc>
        <w:tc>
          <w:tcPr>
            <w:tcW w:w="857"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3,600</w:t>
            </w:r>
          </w:p>
        </w:tc>
        <w:tc>
          <w:tcPr>
            <w:tcW w:w="788"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None</w:t>
            </w:r>
          </w:p>
        </w:tc>
        <w:tc>
          <w:tcPr>
            <w:tcW w:w="680"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8</w:t>
            </w:r>
          </w:p>
        </w:tc>
        <w:tc>
          <w:tcPr>
            <w:tcW w:w="639"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3,700</w:t>
            </w:r>
          </w:p>
        </w:tc>
        <w:tc>
          <w:tcPr>
            <w:tcW w:w="639"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2,800</w:t>
            </w:r>
          </w:p>
        </w:tc>
      </w:tr>
      <w:tr w:rsidR="00913351" w:rsidRPr="006A6CE3" w:rsidTr="002B1436">
        <w:trPr>
          <w:trHeight w:val="147"/>
        </w:trPr>
        <w:tc>
          <w:tcPr>
            <w:tcW w:w="1396"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 xml:space="preserve">  Owned transport</w:t>
            </w:r>
          </w:p>
        </w:tc>
        <w:tc>
          <w:tcPr>
            <w:tcW w:w="857"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1,500</w:t>
            </w:r>
          </w:p>
        </w:tc>
        <w:tc>
          <w:tcPr>
            <w:tcW w:w="788"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None</w:t>
            </w:r>
          </w:p>
        </w:tc>
        <w:tc>
          <w:tcPr>
            <w:tcW w:w="680"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9</w:t>
            </w:r>
          </w:p>
        </w:tc>
        <w:tc>
          <w:tcPr>
            <w:tcW w:w="639"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1,550</w:t>
            </w:r>
          </w:p>
        </w:tc>
        <w:tc>
          <w:tcPr>
            <w:tcW w:w="639"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990</w:t>
            </w:r>
          </w:p>
        </w:tc>
      </w:tr>
      <w:tr w:rsidR="00913351" w:rsidRPr="006A6CE3" w:rsidTr="002B1436">
        <w:trPr>
          <w:trHeight w:val="147"/>
        </w:trPr>
        <w:tc>
          <w:tcPr>
            <w:tcW w:w="1396"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 xml:space="preserve">  Process emissions</w:t>
            </w:r>
          </w:p>
        </w:tc>
        <w:tc>
          <w:tcPr>
            <w:tcW w:w="857"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12,000</w:t>
            </w:r>
          </w:p>
        </w:tc>
        <w:tc>
          <w:tcPr>
            <w:tcW w:w="788"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None</w:t>
            </w:r>
          </w:p>
        </w:tc>
        <w:tc>
          <w:tcPr>
            <w:tcW w:w="680"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9</w:t>
            </w:r>
          </w:p>
        </w:tc>
        <w:tc>
          <w:tcPr>
            <w:tcW w:w="639"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12,250</w:t>
            </w:r>
          </w:p>
        </w:tc>
        <w:tc>
          <w:tcPr>
            <w:tcW w:w="639"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9330</w:t>
            </w:r>
          </w:p>
        </w:tc>
      </w:tr>
      <w:tr w:rsidR="00913351" w:rsidRPr="006A6CE3" w:rsidTr="002B1436">
        <w:trPr>
          <w:trHeight w:val="1003"/>
        </w:trPr>
        <w:tc>
          <w:tcPr>
            <w:tcW w:w="1396"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 xml:space="preserve">  Fugitive emissions</w:t>
            </w:r>
          </w:p>
        </w:tc>
        <w:tc>
          <w:tcPr>
            <w:tcW w:w="857" w:type="pct"/>
          </w:tcPr>
          <w:p w:rsidR="00913351" w:rsidRPr="006A6CE3" w:rsidRDefault="00913351" w:rsidP="00E204D9">
            <w:pPr>
              <w:pStyle w:val="NoSpacing"/>
              <w:rPr>
                <w:rFonts w:ascii="Arial" w:hAnsi="Arial" w:cs="Arial"/>
                <w:color w:val="000000"/>
                <w:sz w:val="24"/>
                <w:lang w:bidi="en-US"/>
              </w:rPr>
            </w:pPr>
          </w:p>
        </w:tc>
        <w:tc>
          <w:tcPr>
            <w:tcW w:w="788"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sz w:val="24"/>
                <w:lang w:bidi="en-US"/>
              </w:rPr>
              <w:t xml:space="preserve">Emissions from air conditioning and refrigeration units in office buildings excluded due to cost of data collection.  These are estimated to account for less than 0.5% of total </w:t>
            </w:r>
            <w:r w:rsidR="00685E60">
              <w:rPr>
                <w:rFonts w:ascii="Arial" w:hAnsi="Arial" w:cs="Arial"/>
                <w:sz w:val="24"/>
                <w:lang w:bidi="en-US"/>
              </w:rPr>
              <w:t>Scope</w:t>
            </w:r>
            <w:r w:rsidRPr="006A6CE3">
              <w:rPr>
                <w:rFonts w:ascii="Arial" w:hAnsi="Arial" w:cs="Arial"/>
                <w:sz w:val="24"/>
                <w:lang w:bidi="en-US"/>
              </w:rPr>
              <w:t xml:space="preserve"> 1 emissions.</w:t>
            </w:r>
          </w:p>
        </w:tc>
        <w:tc>
          <w:tcPr>
            <w:tcW w:w="680" w:type="pct"/>
          </w:tcPr>
          <w:p w:rsidR="00913351" w:rsidRPr="006A6CE3" w:rsidRDefault="00913351" w:rsidP="00E204D9">
            <w:pPr>
              <w:pStyle w:val="NoSpacing"/>
              <w:rPr>
                <w:rFonts w:ascii="Arial" w:hAnsi="Arial" w:cs="Arial"/>
                <w:sz w:val="24"/>
                <w:lang w:bidi="en-US"/>
              </w:rPr>
            </w:pPr>
          </w:p>
        </w:tc>
        <w:tc>
          <w:tcPr>
            <w:tcW w:w="639" w:type="pct"/>
          </w:tcPr>
          <w:p w:rsidR="00913351" w:rsidRPr="006A6CE3" w:rsidRDefault="00913351" w:rsidP="00E204D9">
            <w:pPr>
              <w:pStyle w:val="NoSpacing"/>
              <w:rPr>
                <w:rFonts w:ascii="Arial" w:hAnsi="Arial" w:cs="Arial"/>
                <w:sz w:val="24"/>
                <w:lang w:bidi="en-US"/>
              </w:rPr>
            </w:pPr>
          </w:p>
        </w:tc>
        <w:tc>
          <w:tcPr>
            <w:tcW w:w="639" w:type="pct"/>
          </w:tcPr>
          <w:p w:rsidR="00913351" w:rsidRPr="006A6CE3" w:rsidRDefault="00913351" w:rsidP="00E204D9">
            <w:pPr>
              <w:pStyle w:val="NoSpacing"/>
              <w:rPr>
                <w:rFonts w:ascii="Arial" w:hAnsi="Arial" w:cs="Arial"/>
                <w:sz w:val="24"/>
                <w:lang w:bidi="en-US"/>
              </w:rPr>
            </w:pPr>
          </w:p>
        </w:tc>
      </w:tr>
      <w:tr w:rsidR="00913351" w:rsidRPr="006A6CE3" w:rsidTr="002B1436">
        <w:trPr>
          <w:trHeight w:val="147"/>
        </w:trPr>
        <w:tc>
          <w:tcPr>
            <w:tcW w:w="1396" w:type="pct"/>
          </w:tcPr>
          <w:p w:rsidR="00913351" w:rsidRPr="006A6CE3" w:rsidRDefault="00913351" w:rsidP="00E204D9">
            <w:pPr>
              <w:pStyle w:val="NoSpacing"/>
              <w:rPr>
                <w:rFonts w:ascii="Arial" w:hAnsi="Arial" w:cs="Arial"/>
                <w:b/>
                <w:color w:val="000000"/>
                <w:sz w:val="24"/>
                <w:lang w:bidi="en-US"/>
              </w:rPr>
            </w:pPr>
            <w:r w:rsidRPr="006A6CE3">
              <w:rPr>
                <w:rFonts w:ascii="Arial" w:hAnsi="Arial" w:cs="Arial"/>
                <w:b/>
                <w:color w:val="000000"/>
                <w:sz w:val="24"/>
                <w:lang w:bidi="en-US"/>
              </w:rPr>
              <w:lastRenderedPageBreak/>
              <w:t xml:space="preserve">Total </w:t>
            </w:r>
            <w:r w:rsidR="00685E60">
              <w:rPr>
                <w:rFonts w:ascii="Arial" w:hAnsi="Arial" w:cs="Arial"/>
                <w:b/>
                <w:color w:val="000000"/>
                <w:sz w:val="24"/>
                <w:lang w:bidi="en-US"/>
              </w:rPr>
              <w:t>Scope</w:t>
            </w:r>
            <w:r w:rsidRPr="006A6CE3">
              <w:rPr>
                <w:rFonts w:ascii="Arial" w:hAnsi="Arial" w:cs="Arial"/>
                <w:b/>
                <w:color w:val="000000"/>
                <w:sz w:val="24"/>
                <w:lang w:bidi="en-US"/>
              </w:rPr>
              <w:t xml:space="preserve"> 1</w:t>
            </w:r>
          </w:p>
        </w:tc>
        <w:tc>
          <w:tcPr>
            <w:tcW w:w="857" w:type="pct"/>
          </w:tcPr>
          <w:p w:rsidR="00913351" w:rsidRPr="006A6CE3" w:rsidRDefault="00913351" w:rsidP="00E204D9">
            <w:pPr>
              <w:pStyle w:val="NoSpacing"/>
              <w:rPr>
                <w:rFonts w:ascii="Arial" w:hAnsi="Arial" w:cs="Arial"/>
                <w:b/>
                <w:color w:val="000000"/>
                <w:sz w:val="24"/>
                <w:lang w:bidi="en-US"/>
              </w:rPr>
            </w:pPr>
            <w:r w:rsidRPr="006A6CE3">
              <w:rPr>
                <w:rFonts w:ascii="Arial" w:hAnsi="Arial" w:cs="Arial"/>
                <w:b/>
                <w:color w:val="000000"/>
                <w:sz w:val="24"/>
                <w:lang w:bidi="en-US"/>
              </w:rPr>
              <w:t>17,100</w:t>
            </w:r>
          </w:p>
        </w:tc>
        <w:tc>
          <w:tcPr>
            <w:tcW w:w="788" w:type="pct"/>
          </w:tcPr>
          <w:p w:rsidR="00913351" w:rsidRPr="006A6CE3" w:rsidRDefault="00913351" w:rsidP="00E204D9">
            <w:pPr>
              <w:pStyle w:val="NoSpacing"/>
              <w:rPr>
                <w:rFonts w:ascii="Arial" w:hAnsi="Arial" w:cs="Arial"/>
                <w:b/>
                <w:color w:val="000000"/>
                <w:sz w:val="24"/>
                <w:lang w:bidi="en-US"/>
              </w:rPr>
            </w:pPr>
            <w:r w:rsidRPr="006A6CE3">
              <w:rPr>
                <w:rFonts w:ascii="Arial" w:hAnsi="Arial" w:cs="Arial"/>
                <w:b/>
                <w:color w:val="000000"/>
                <w:sz w:val="24"/>
                <w:lang w:bidi="en-US"/>
              </w:rPr>
              <w:t>N/A</w:t>
            </w:r>
          </w:p>
        </w:tc>
        <w:tc>
          <w:tcPr>
            <w:tcW w:w="680" w:type="pct"/>
          </w:tcPr>
          <w:p w:rsidR="00913351" w:rsidRPr="006A6CE3" w:rsidRDefault="00913351" w:rsidP="00E204D9">
            <w:pPr>
              <w:pStyle w:val="NoSpacing"/>
              <w:rPr>
                <w:rFonts w:ascii="Arial" w:hAnsi="Arial" w:cs="Arial"/>
                <w:b/>
                <w:color w:val="000000"/>
                <w:sz w:val="24"/>
                <w:lang w:bidi="en-US"/>
              </w:rPr>
            </w:pPr>
          </w:p>
        </w:tc>
        <w:tc>
          <w:tcPr>
            <w:tcW w:w="639" w:type="pct"/>
          </w:tcPr>
          <w:p w:rsidR="00913351" w:rsidRPr="006A6CE3" w:rsidRDefault="00913351" w:rsidP="00E204D9">
            <w:pPr>
              <w:pStyle w:val="NoSpacing"/>
              <w:rPr>
                <w:rFonts w:ascii="Arial" w:hAnsi="Arial" w:cs="Arial"/>
                <w:b/>
                <w:color w:val="000000"/>
                <w:sz w:val="24"/>
                <w:lang w:bidi="en-US"/>
              </w:rPr>
            </w:pPr>
            <w:r w:rsidRPr="006A6CE3">
              <w:rPr>
                <w:rFonts w:ascii="Arial" w:hAnsi="Arial" w:cs="Arial"/>
                <w:b/>
                <w:color w:val="000000"/>
                <w:sz w:val="24"/>
                <w:lang w:bidi="en-US"/>
              </w:rPr>
              <w:t>17,500</w:t>
            </w:r>
          </w:p>
        </w:tc>
        <w:tc>
          <w:tcPr>
            <w:tcW w:w="639" w:type="pct"/>
          </w:tcPr>
          <w:p w:rsidR="00913351" w:rsidRPr="006A6CE3" w:rsidRDefault="00913351" w:rsidP="00E204D9">
            <w:pPr>
              <w:pStyle w:val="NoSpacing"/>
              <w:rPr>
                <w:rFonts w:ascii="Arial" w:hAnsi="Arial" w:cs="Arial"/>
                <w:b/>
                <w:color w:val="000000"/>
                <w:sz w:val="24"/>
                <w:lang w:bidi="en-US"/>
              </w:rPr>
            </w:pPr>
            <w:r w:rsidRPr="006A6CE3">
              <w:rPr>
                <w:rFonts w:ascii="Arial" w:hAnsi="Arial" w:cs="Arial"/>
                <w:b/>
                <w:color w:val="000000"/>
                <w:sz w:val="24"/>
                <w:lang w:bidi="en-US"/>
              </w:rPr>
              <w:t>13,120</w:t>
            </w:r>
          </w:p>
        </w:tc>
      </w:tr>
      <w:tr w:rsidR="00913351" w:rsidRPr="006A6CE3" w:rsidTr="002B1436">
        <w:trPr>
          <w:trHeight w:val="520"/>
        </w:trPr>
        <w:tc>
          <w:tcPr>
            <w:tcW w:w="1396" w:type="pct"/>
          </w:tcPr>
          <w:p w:rsidR="00913351" w:rsidRPr="006A6CE3" w:rsidRDefault="00913351" w:rsidP="00E204D9">
            <w:pPr>
              <w:pStyle w:val="NoSpacing"/>
              <w:rPr>
                <w:rFonts w:ascii="Arial" w:hAnsi="Arial" w:cs="Arial"/>
                <w:b/>
                <w:color w:val="000000"/>
                <w:sz w:val="24"/>
                <w:lang w:bidi="en-US"/>
              </w:rPr>
            </w:pPr>
          </w:p>
        </w:tc>
        <w:tc>
          <w:tcPr>
            <w:tcW w:w="3604" w:type="pct"/>
            <w:gridSpan w:val="5"/>
          </w:tcPr>
          <w:p w:rsidR="00913351" w:rsidRPr="006A6CE3" w:rsidRDefault="00913351" w:rsidP="00E204D9">
            <w:pPr>
              <w:pStyle w:val="NoSpacing"/>
              <w:rPr>
                <w:rFonts w:ascii="Arial" w:hAnsi="Arial" w:cs="Arial"/>
                <w:b/>
                <w:color w:val="000000"/>
                <w:sz w:val="24"/>
                <w:lang w:bidi="en-US"/>
              </w:rPr>
            </w:pPr>
          </w:p>
          <w:p w:rsidR="00913351" w:rsidRPr="006A6CE3" w:rsidRDefault="00913351" w:rsidP="00E204D9">
            <w:pPr>
              <w:pStyle w:val="NoSpacing"/>
              <w:rPr>
                <w:rFonts w:ascii="Arial" w:hAnsi="Arial" w:cs="Arial"/>
                <w:b/>
                <w:color w:val="000000"/>
                <w:sz w:val="24"/>
                <w:lang w:bidi="en-US"/>
              </w:rPr>
            </w:pPr>
          </w:p>
        </w:tc>
      </w:tr>
      <w:tr w:rsidR="00913351" w:rsidRPr="006A6CE3" w:rsidTr="002B1436">
        <w:trPr>
          <w:trHeight w:val="147"/>
        </w:trPr>
        <w:tc>
          <w:tcPr>
            <w:tcW w:w="1396" w:type="pct"/>
          </w:tcPr>
          <w:p w:rsidR="00913351" w:rsidRPr="002B1436" w:rsidRDefault="00913351" w:rsidP="00E204D9">
            <w:pPr>
              <w:pStyle w:val="NoSpacing"/>
              <w:rPr>
                <w:rFonts w:ascii="Arial" w:hAnsi="Arial" w:cs="Arial"/>
                <w:b/>
                <w:color w:val="000000"/>
                <w:sz w:val="24"/>
                <w:highlight w:val="yellow"/>
                <w:lang w:bidi="en-US"/>
              </w:rPr>
            </w:pPr>
            <w:r w:rsidRPr="002B1436">
              <w:rPr>
                <w:rFonts w:ascii="Arial" w:hAnsi="Arial" w:cs="Arial"/>
                <w:b/>
                <w:color w:val="000000"/>
                <w:sz w:val="24"/>
                <w:highlight w:val="yellow"/>
                <w:lang w:bidi="en-US"/>
              </w:rPr>
              <w:t xml:space="preserve">SCOPE 2 </w:t>
            </w:r>
          </w:p>
          <w:p w:rsidR="00913351" w:rsidRPr="006A6CE3" w:rsidRDefault="00913351" w:rsidP="00E204D9">
            <w:pPr>
              <w:pStyle w:val="NoSpacing"/>
              <w:rPr>
                <w:rFonts w:ascii="Arial" w:hAnsi="Arial" w:cs="Arial"/>
                <w:b/>
                <w:color w:val="000000"/>
                <w:sz w:val="24"/>
                <w:lang w:bidi="en-US"/>
              </w:rPr>
            </w:pPr>
            <w:r w:rsidRPr="002B1436">
              <w:rPr>
                <w:rFonts w:ascii="Arial" w:hAnsi="Arial" w:cs="Arial"/>
                <w:b/>
                <w:color w:val="000000"/>
                <w:sz w:val="24"/>
                <w:highlight w:val="yellow"/>
                <w:lang w:bidi="en-US"/>
              </w:rPr>
              <w:t>in metric tonnes CO2e</w:t>
            </w:r>
          </w:p>
        </w:tc>
        <w:tc>
          <w:tcPr>
            <w:tcW w:w="857" w:type="pct"/>
          </w:tcPr>
          <w:p w:rsidR="00913351" w:rsidRPr="006A6CE3" w:rsidRDefault="00913351" w:rsidP="00E204D9">
            <w:pPr>
              <w:pStyle w:val="NoSpacing"/>
              <w:rPr>
                <w:rFonts w:ascii="Arial" w:hAnsi="Arial" w:cs="Arial"/>
                <w:b/>
                <w:color w:val="000000"/>
                <w:sz w:val="24"/>
                <w:lang w:bidi="en-US"/>
              </w:rPr>
            </w:pPr>
            <w:r w:rsidRPr="006A6CE3">
              <w:rPr>
                <w:rFonts w:ascii="Arial" w:hAnsi="Arial" w:cs="Arial"/>
                <w:b/>
                <w:color w:val="000000"/>
                <w:sz w:val="24"/>
                <w:lang w:bidi="en-US"/>
              </w:rPr>
              <w:t>2013-2014</w:t>
            </w:r>
            <w:r w:rsidR="00B67E70">
              <w:rPr>
                <w:rFonts w:ascii="Arial" w:hAnsi="Arial" w:cs="Arial"/>
                <w:b/>
                <w:color w:val="000000"/>
                <w:sz w:val="24"/>
                <w:lang w:bidi="en-US"/>
              </w:rPr>
              <w:t>*</w:t>
            </w:r>
          </w:p>
        </w:tc>
        <w:tc>
          <w:tcPr>
            <w:tcW w:w="788" w:type="pct"/>
          </w:tcPr>
          <w:p w:rsidR="00913351" w:rsidRPr="006A6CE3" w:rsidRDefault="00913351" w:rsidP="00E204D9">
            <w:pPr>
              <w:pStyle w:val="NoSpacing"/>
              <w:rPr>
                <w:rFonts w:ascii="Arial" w:hAnsi="Arial" w:cs="Arial"/>
                <w:b/>
                <w:color w:val="000000"/>
                <w:sz w:val="24"/>
                <w:lang w:bidi="en-US"/>
              </w:rPr>
            </w:pPr>
            <w:r w:rsidRPr="006A6CE3">
              <w:rPr>
                <w:rFonts w:ascii="Arial" w:hAnsi="Arial" w:cs="Arial"/>
                <w:b/>
                <w:color w:val="000000"/>
                <w:sz w:val="24"/>
                <w:lang w:bidi="en-US"/>
              </w:rPr>
              <w:t>Exclusions</w:t>
            </w:r>
          </w:p>
        </w:tc>
        <w:tc>
          <w:tcPr>
            <w:tcW w:w="680" w:type="pct"/>
          </w:tcPr>
          <w:p w:rsidR="00913351" w:rsidRPr="006A6CE3" w:rsidRDefault="00913351" w:rsidP="00E204D9">
            <w:pPr>
              <w:pStyle w:val="NoSpacing"/>
              <w:rPr>
                <w:rFonts w:ascii="Arial" w:hAnsi="Arial" w:cs="Arial"/>
                <w:b/>
                <w:color w:val="000000"/>
                <w:sz w:val="24"/>
                <w:lang w:bidi="en-US"/>
              </w:rPr>
            </w:pPr>
            <w:r w:rsidRPr="006A6CE3">
              <w:rPr>
                <w:rFonts w:ascii="Arial" w:hAnsi="Arial" w:cs="Arial"/>
                <w:b/>
                <w:color w:val="000000"/>
                <w:sz w:val="24"/>
                <w:lang w:bidi="en-US"/>
              </w:rPr>
              <w:t>% of activity data that is estimated</w:t>
            </w:r>
          </w:p>
        </w:tc>
        <w:tc>
          <w:tcPr>
            <w:tcW w:w="639" w:type="pct"/>
          </w:tcPr>
          <w:p w:rsidR="00913351" w:rsidRPr="006A6CE3" w:rsidRDefault="00913351" w:rsidP="00E204D9">
            <w:pPr>
              <w:pStyle w:val="NoSpacing"/>
              <w:rPr>
                <w:rFonts w:ascii="Arial" w:hAnsi="Arial" w:cs="Arial"/>
                <w:b/>
                <w:color w:val="000000"/>
                <w:sz w:val="24"/>
                <w:lang w:bidi="en-US"/>
              </w:rPr>
            </w:pPr>
            <w:r w:rsidRPr="006A6CE3">
              <w:rPr>
                <w:rFonts w:ascii="Arial" w:hAnsi="Arial" w:cs="Arial"/>
                <w:b/>
                <w:color w:val="000000"/>
                <w:sz w:val="24"/>
                <w:lang w:bidi="en-US"/>
              </w:rPr>
              <w:t>2012-2013</w:t>
            </w:r>
          </w:p>
        </w:tc>
        <w:tc>
          <w:tcPr>
            <w:tcW w:w="639" w:type="pct"/>
          </w:tcPr>
          <w:p w:rsidR="00913351" w:rsidRPr="006A6CE3" w:rsidRDefault="00913351" w:rsidP="00E204D9">
            <w:pPr>
              <w:pStyle w:val="NoSpacing"/>
              <w:rPr>
                <w:rFonts w:ascii="Arial" w:hAnsi="Arial" w:cs="Arial"/>
                <w:b/>
                <w:color w:val="000000"/>
                <w:sz w:val="24"/>
                <w:lang w:bidi="en-US"/>
              </w:rPr>
            </w:pPr>
            <w:r w:rsidRPr="006A6CE3">
              <w:rPr>
                <w:rFonts w:ascii="Arial" w:hAnsi="Arial" w:cs="Arial"/>
                <w:b/>
                <w:color w:val="000000"/>
                <w:sz w:val="24"/>
                <w:lang w:bidi="en-US"/>
              </w:rPr>
              <w:t>2006-2007</w:t>
            </w:r>
          </w:p>
        </w:tc>
      </w:tr>
      <w:tr w:rsidR="00913351" w:rsidRPr="006A6CE3" w:rsidTr="002B1436">
        <w:trPr>
          <w:trHeight w:val="147"/>
        </w:trPr>
        <w:tc>
          <w:tcPr>
            <w:tcW w:w="1396" w:type="pct"/>
          </w:tcPr>
          <w:p w:rsidR="00913351" w:rsidRPr="002B1436" w:rsidRDefault="00913351" w:rsidP="00756635">
            <w:pPr>
              <w:pStyle w:val="NoSpacing"/>
              <w:rPr>
                <w:rFonts w:ascii="Arial" w:hAnsi="Arial" w:cs="Arial"/>
                <w:color w:val="000000"/>
                <w:sz w:val="24"/>
                <w:highlight w:val="yellow"/>
                <w:lang w:bidi="en-US"/>
              </w:rPr>
            </w:pPr>
            <w:r w:rsidRPr="002B1436">
              <w:rPr>
                <w:rFonts w:ascii="Arial" w:hAnsi="Arial" w:cs="Arial"/>
                <w:color w:val="000000"/>
                <w:sz w:val="24"/>
                <w:highlight w:val="yellow"/>
                <w:lang w:bidi="en-US"/>
              </w:rPr>
              <w:t xml:space="preserve">S2 </w:t>
            </w:r>
            <w:r w:rsidR="00E47635" w:rsidRPr="002B1436">
              <w:rPr>
                <w:rFonts w:ascii="Arial" w:hAnsi="Arial" w:cs="Arial"/>
                <w:color w:val="000000"/>
                <w:sz w:val="24"/>
                <w:highlight w:val="yellow"/>
                <w:lang w:bidi="en-US"/>
              </w:rPr>
              <w:t>location-based</w:t>
            </w:r>
            <w:r w:rsidR="00B05533" w:rsidRPr="002B1436">
              <w:rPr>
                <w:rStyle w:val="FootnoteReference"/>
                <w:rFonts w:ascii="Arial" w:hAnsi="Arial" w:cs="Arial"/>
                <w:color w:val="000000"/>
                <w:sz w:val="24"/>
                <w:highlight w:val="yellow"/>
                <w:lang w:bidi="en-US"/>
              </w:rPr>
              <w:footnoteReference w:id="89"/>
            </w:r>
          </w:p>
        </w:tc>
        <w:tc>
          <w:tcPr>
            <w:tcW w:w="857" w:type="pct"/>
          </w:tcPr>
          <w:p w:rsidR="00913351" w:rsidRPr="002B1436" w:rsidRDefault="00EB34D3" w:rsidP="00E204D9">
            <w:pPr>
              <w:pStyle w:val="NoSpacing"/>
              <w:autoSpaceDE w:val="0"/>
              <w:autoSpaceDN w:val="0"/>
              <w:adjustRightInd w:val="0"/>
              <w:rPr>
                <w:rFonts w:ascii="Arial" w:hAnsi="Arial" w:cs="Arial"/>
                <w:color w:val="000000"/>
                <w:sz w:val="24"/>
                <w:highlight w:val="yellow"/>
                <w:lang w:bidi="en-US"/>
              </w:rPr>
            </w:pPr>
            <w:r w:rsidRPr="002B1436">
              <w:rPr>
                <w:rFonts w:ascii="Arial" w:hAnsi="Arial" w:cs="Arial"/>
                <w:color w:val="000000"/>
                <w:sz w:val="24"/>
                <w:highlight w:val="yellow"/>
                <w:lang w:bidi="en-US"/>
              </w:rPr>
              <w:t>20,340</w:t>
            </w:r>
          </w:p>
        </w:tc>
        <w:tc>
          <w:tcPr>
            <w:tcW w:w="788" w:type="pct"/>
          </w:tcPr>
          <w:p w:rsidR="00913351" w:rsidRPr="002B1436" w:rsidRDefault="00913351" w:rsidP="00E204D9">
            <w:pPr>
              <w:pStyle w:val="NoSpacing"/>
              <w:autoSpaceDE w:val="0"/>
              <w:autoSpaceDN w:val="0"/>
              <w:adjustRightInd w:val="0"/>
              <w:rPr>
                <w:rFonts w:ascii="Arial" w:hAnsi="Arial" w:cs="Arial"/>
                <w:color w:val="000000"/>
                <w:sz w:val="24"/>
                <w:highlight w:val="yellow"/>
                <w:lang w:bidi="en-US"/>
              </w:rPr>
            </w:pPr>
            <w:r w:rsidRPr="002B1436">
              <w:rPr>
                <w:rFonts w:ascii="Arial" w:hAnsi="Arial" w:cs="Arial"/>
                <w:color w:val="000000"/>
                <w:sz w:val="24"/>
                <w:highlight w:val="yellow"/>
                <w:lang w:bidi="en-US"/>
              </w:rPr>
              <w:t>None</w:t>
            </w:r>
          </w:p>
        </w:tc>
        <w:tc>
          <w:tcPr>
            <w:tcW w:w="680" w:type="pct"/>
          </w:tcPr>
          <w:p w:rsidR="00913351" w:rsidRPr="002B1436" w:rsidRDefault="00913351" w:rsidP="00E204D9">
            <w:pPr>
              <w:pStyle w:val="NoSpacing"/>
              <w:autoSpaceDE w:val="0"/>
              <w:autoSpaceDN w:val="0"/>
              <w:adjustRightInd w:val="0"/>
              <w:rPr>
                <w:rFonts w:ascii="Arial" w:hAnsi="Arial" w:cs="Arial"/>
                <w:color w:val="000000"/>
                <w:sz w:val="24"/>
                <w:highlight w:val="yellow"/>
                <w:lang w:bidi="en-US"/>
              </w:rPr>
            </w:pPr>
            <w:r w:rsidRPr="002B1436">
              <w:rPr>
                <w:rFonts w:ascii="Arial" w:hAnsi="Arial" w:cs="Arial"/>
                <w:color w:val="000000"/>
                <w:sz w:val="24"/>
                <w:highlight w:val="yellow"/>
                <w:lang w:bidi="en-US"/>
              </w:rPr>
              <w:t>2</w:t>
            </w:r>
          </w:p>
        </w:tc>
        <w:tc>
          <w:tcPr>
            <w:tcW w:w="639" w:type="pct"/>
          </w:tcPr>
          <w:p w:rsidR="00913351" w:rsidRPr="002B1436" w:rsidRDefault="00913351" w:rsidP="00E204D9">
            <w:pPr>
              <w:pStyle w:val="NoSpacing"/>
              <w:autoSpaceDE w:val="0"/>
              <w:autoSpaceDN w:val="0"/>
              <w:adjustRightInd w:val="0"/>
              <w:rPr>
                <w:rFonts w:ascii="Arial" w:hAnsi="Arial" w:cs="Arial"/>
                <w:color w:val="000000"/>
                <w:sz w:val="24"/>
                <w:highlight w:val="yellow"/>
                <w:lang w:bidi="en-US"/>
              </w:rPr>
            </w:pPr>
            <w:r w:rsidRPr="002B1436">
              <w:rPr>
                <w:rFonts w:ascii="Arial" w:hAnsi="Arial" w:cs="Arial"/>
                <w:color w:val="000000"/>
                <w:sz w:val="24"/>
                <w:highlight w:val="yellow"/>
                <w:lang w:bidi="en-US"/>
              </w:rPr>
              <w:t>15,100</w:t>
            </w:r>
          </w:p>
        </w:tc>
        <w:tc>
          <w:tcPr>
            <w:tcW w:w="639" w:type="pct"/>
          </w:tcPr>
          <w:p w:rsidR="00913351" w:rsidRPr="002B1436" w:rsidRDefault="00913351" w:rsidP="00E204D9">
            <w:pPr>
              <w:pStyle w:val="NoSpacing"/>
              <w:autoSpaceDE w:val="0"/>
              <w:autoSpaceDN w:val="0"/>
              <w:adjustRightInd w:val="0"/>
              <w:rPr>
                <w:rFonts w:ascii="Arial" w:hAnsi="Arial" w:cs="Arial"/>
                <w:color w:val="000000"/>
                <w:sz w:val="24"/>
                <w:highlight w:val="yellow"/>
                <w:lang w:bidi="en-US"/>
              </w:rPr>
            </w:pPr>
            <w:r w:rsidRPr="002B1436">
              <w:rPr>
                <w:rFonts w:ascii="Arial" w:hAnsi="Arial" w:cs="Arial"/>
                <w:color w:val="000000"/>
                <w:sz w:val="24"/>
                <w:highlight w:val="yellow"/>
                <w:lang w:bidi="en-US"/>
              </w:rPr>
              <w:t>10,000</w:t>
            </w:r>
          </w:p>
        </w:tc>
      </w:tr>
      <w:tr w:rsidR="00B67E70" w:rsidRPr="006A6CE3" w:rsidDel="00116403" w:rsidTr="00B67E70">
        <w:trPr>
          <w:trHeight w:val="147"/>
        </w:trPr>
        <w:tc>
          <w:tcPr>
            <w:tcW w:w="5000" w:type="pct"/>
            <w:gridSpan w:val="6"/>
            <w:tcBorders>
              <w:left w:val="nil"/>
              <w:right w:val="nil"/>
            </w:tcBorders>
          </w:tcPr>
          <w:p w:rsidR="00B67E70" w:rsidRPr="006A6CE3" w:rsidRDefault="00B67E70" w:rsidP="00E204D9">
            <w:pPr>
              <w:pStyle w:val="NoSpacing"/>
              <w:rPr>
                <w:rFonts w:ascii="Arial" w:hAnsi="Arial" w:cs="Arial"/>
                <w:b/>
                <w:color w:val="000000"/>
                <w:sz w:val="24"/>
                <w:lang w:bidi="en-US"/>
              </w:rPr>
            </w:pPr>
          </w:p>
          <w:p w:rsidR="00B67E70" w:rsidRPr="005669A8" w:rsidRDefault="00654EF5" w:rsidP="00E204D9">
            <w:pPr>
              <w:pStyle w:val="NoSpacing"/>
              <w:autoSpaceDE w:val="0"/>
              <w:autoSpaceDN w:val="0"/>
              <w:adjustRightInd w:val="0"/>
              <w:rPr>
                <w:rFonts w:ascii="Arial" w:hAnsi="Arial" w:cs="Arial"/>
                <w:color w:val="000000"/>
                <w:sz w:val="24"/>
                <w:lang w:bidi="en-US"/>
              </w:rPr>
            </w:pPr>
            <w:r w:rsidRPr="002B1436">
              <w:rPr>
                <w:rFonts w:ascii="Arial" w:hAnsi="Arial" w:cs="Arial"/>
                <w:color w:val="000000"/>
                <w:sz w:val="24"/>
                <w:highlight w:val="yellow"/>
                <w:lang w:bidi="en-US"/>
              </w:rPr>
              <w:t>*T</w:t>
            </w:r>
            <w:r w:rsidR="00B67E70" w:rsidRPr="002B1436">
              <w:rPr>
                <w:rFonts w:ascii="Arial" w:hAnsi="Arial" w:cs="Arial"/>
                <w:color w:val="000000"/>
                <w:sz w:val="24"/>
                <w:highlight w:val="yellow"/>
                <w:lang w:bidi="en-US"/>
              </w:rPr>
              <w:t xml:space="preserve">his is the first </w:t>
            </w:r>
            <w:r w:rsidRPr="002B1436">
              <w:rPr>
                <w:rFonts w:ascii="Arial" w:hAnsi="Arial" w:cs="Arial"/>
                <w:color w:val="000000"/>
                <w:sz w:val="24"/>
                <w:highlight w:val="yellow"/>
                <w:lang w:bidi="en-US"/>
              </w:rPr>
              <w:t xml:space="preserve">year that we have made </w:t>
            </w:r>
            <w:r w:rsidR="00B67E70" w:rsidRPr="002B1436">
              <w:rPr>
                <w:rFonts w:ascii="Arial" w:hAnsi="Arial" w:cs="Arial"/>
                <w:color w:val="000000"/>
                <w:sz w:val="24"/>
                <w:highlight w:val="yellow"/>
                <w:lang w:bidi="en-US"/>
              </w:rPr>
              <w:t>renewable electricity purchases.</w:t>
            </w:r>
          </w:p>
          <w:p w:rsidR="00B67E70" w:rsidRPr="006A6CE3" w:rsidRDefault="00B67E70" w:rsidP="00E204D9">
            <w:pPr>
              <w:pStyle w:val="NoSpacing"/>
              <w:rPr>
                <w:rFonts w:ascii="Arial" w:hAnsi="Arial" w:cs="Arial"/>
                <w:b/>
                <w:color w:val="000000"/>
                <w:sz w:val="24"/>
                <w:lang w:bidi="en-US"/>
              </w:rPr>
            </w:pPr>
          </w:p>
        </w:tc>
      </w:tr>
      <w:tr w:rsidR="00913351" w:rsidRPr="006A6CE3" w:rsidDel="00116403" w:rsidTr="002B1436">
        <w:trPr>
          <w:trHeight w:val="147"/>
        </w:trPr>
        <w:tc>
          <w:tcPr>
            <w:tcW w:w="1396" w:type="pct"/>
          </w:tcPr>
          <w:p w:rsidR="00913351" w:rsidRPr="006A6CE3" w:rsidRDefault="00913351" w:rsidP="00E204D9">
            <w:pPr>
              <w:pStyle w:val="NoSpacing"/>
              <w:rPr>
                <w:rFonts w:ascii="Arial" w:hAnsi="Arial" w:cs="Arial"/>
                <w:b/>
                <w:color w:val="000000"/>
                <w:sz w:val="24"/>
                <w:lang w:bidi="en-US"/>
              </w:rPr>
            </w:pPr>
            <w:r w:rsidRPr="006A6CE3">
              <w:rPr>
                <w:rFonts w:ascii="Arial" w:hAnsi="Arial" w:cs="Arial"/>
                <w:b/>
                <w:color w:val="000000"/>
                <w:sz w:val="24"/>
                <w:lang w:bidi="en-US"/>
              </w:rPr>
              <w:t>SCOPE 3</w:t>
            </w:r>
          </w:p>
          <w:p w:rsidR="00913351" w:rsidRPr="006A6CE3" w:rsidRDefault="00913351" w:rsidP="00E204D9">
            <w:pPr>
              <w:pStyle w:val="NoSpacing"/>
              <w:rPr>
                <w:rFonts w:ascii="Arial" w:hAnsi="Arial" w:cs="Arial"/>
                <w:b/>
                <w:color w:val="000000"/>
                <w:sz w:val="24"/>
                <w:lang w:bidi="en-US"/>
              </w:rPr>
            </w:pPr>
            <w:r w:rsidRPr="006A6CE3">
              <w:rPr>
                <w:rFonts w:ascii="Arial" w:hAnsi="Arial" w:cs="Arial"/>
                <w:b/>
                <w:color w:val="000000"/>
                <w:sz w:val="24"/>
                <w:lang w:bidi="en-US"/>
              </w:rPr>
              <w:t>in metric tonnes CO2e</w:t>
            </w:r>
          </w:p>
        </w:tc>
        <w:tc>
          <w:tcPr>
            <w:tcW w:w="857" w:type="pct"/>
          </w:tcPr>
          <w:p w:rsidR="00913351" w:rsidRPr="006A6CE3" w:rsidRDefault="00913351" w:rsidP="00E204D9">
            <w:pPr>
              <w:pStyle w:val="NoSpacing"/>
              <w:rPr>
                <w:rFonts w:ascii="Arial" w:hAnsi="Arial" w:cs="Arial"/>
                <w:b/>
                <w:color w:val="000000"/>
                <w:sz w:val="24"/>
                <w:lang w:bidi="en-US"/>
              </w:rPr>
            </w:pPr>
            <w:r w:rsidRPr="006A6CE3">
              <w:rPr>
                <w:rFonts w:ascii="Arial" w:hAnsi="Arial" w:cs="Arial"/>
                <w:b/>
                <w:color w:val="000000"/>
                <w:sz w:val="24"/>
                <w:lang w:bidi="en-US"/>
              </w:rPr>
              <w:t>2013-2014</w:t>
            </w:r>
          </w:p>
        </w:tc>
        <w:tc>
          <w:tcPr>
            <w:tcW w:w="788" w:type="pct"/>
          </w:tcPr>
          <w:p w:rsidR="00913351" w:rsidRPr="006A6CE3" w:rsidRDefault="00913351" w:rsidP="00E204D9">
            <w:pPr>
              <w:pStyle w:val="NoSpacing"/>
              <w:rPr>
                <w:rFonts w:ascii="Arial" w:hAnsi="Arial" w:cs="Arial"/>
                <w:b/>
                <w:color w:val="000000"/>
                <w:sz w:val="24"/>
                <w:lang w:bidi="en-US"/>
              </w:rPr>
            </w:pPr>
            <w:r w:rsidRPr="006A6CE3">
              <w:rPr>
                <w:rFonts w:ascii="Arial" w:hAnsi="Arial" w:cs="Arial"/>
                <w:b/>
                <w:color w:val="000000"/>
                <w:sz w:val="24"/>
                <w:lang w:bidi="en-US"/>
              </w:rPr>
              <w:t>Exclusions</w:t>
            </w:r>
          </w:p>
        </w:tc>
        <w:tc>
          <w:tcPr>
            <w:tcW w:w="680" w:type="pct"/>
          </w:tcPr>
          <w:p w:rsidR="00913351" w:rsidRPr="006A6CE3" w:rsidRDefault="00913351" w:rsidP="00E204D9">
            <w:pPr>
              <w:pStyle w:val="NoSpacing"/>
              <w:rPr>
                <w:rFonts w:ascii="Arial" w:hAnsi="Arial" w:cs="Arial"/>
                <w:b/>
                <w:color w:val="000000"/>
                <w:sz w:val="24"/>
                <w:lang w:bidi="en-US"/>
              </w:rPr>
            </w:pPr>
            <w:r w:rsidRPr="006A6CE3">
              <w:rPr>
                <w:rFonts w:ascii="Arial" w:hAnsi="Arial" w:cs="Arial"/>
                <w:b/>
                <w:color w:val="000000"/>
                <w:sz w:val="24"/>
                <w:lang w:bidi="en-US"/>
              </w:rPr>
              <w:t>% of activity data that is estimated</w:t>
            </w:r>
          </w:p>
        </w:tc>
        <w:tc>
          <w:tcPr>
            <w:tcW w:w="639" w:type="pct"/>
          </w:tcPr>
          <w:p w:rsidR="00913351" w:rsidRPr="006A6CE3" w:rsidRDefault="00913351" w:rsidP="00E204D9">
            <w:pPr>
              <w:pStyle w:val="NoSpacing"/>
              <w:rPr>
                <w:rFonts w:ascii="Arial" w:hAnsi="Arial" w:cs="Arial"/>
                <w:b/>
                <w:color w:val="000000"/>
                <w:sz w:val="24"/>
                <w:lang w:bidi="en-US"/>
              </w:rPr>
            </w:pPr>
            <w:r w:rsidRPr="006A6CE3">
              <w:rPr>
                <w:rFonts w:ascii="Arial" w:hAnsi="Arial" w:cs="Arial"/>
                <w:b/>
                <w:color w:val="000000"/>
                <w:sz w:val="24"/>
                <w:lang w:bidi="en-US"/>
              </w:rPr>
              <w:t>2012-2013</w:t>
            </w:r>
          </w:p>
        </w:tc>
        <w:tc>
          <w:tcPr>
            <w:tcW w:w="639" w:type="pct"/>
          </w:tcPr>
          <w:p w:rsidR="00913351" w:rsidRPr="006A6CE3" w:rsidRDefault="00913351" w:rsidP="00E204D9">
            <w:pPr>
              <w:pStyle w:val="NoSpacing"/>
              <w:rPr>
                <w:rFonts w:ascii="Arial" w:hAnsi="Arial" w:cs="Arial"/>
                <w:b/>
                <w:color w:val="000000"/>
                <w:sz w:val="24"/>
                <w:lang w:bidi="en-US"/>
              </w:rPr>
            </w:pPr>
            <w:r w:rsidRPr="006A6CE3">
              <w:rPr>
                <w:rFonts w:ascii="Arial" w:hAnsi="Arial" w:cs="Arial"/>
                <w:b/>
                <w:color w:val="000000"/>
                <w:sz w:val="24"/>
                <w:lang w:bidi="en-US"/>
              </w:rPr>
              <w:t>2006-2007</w:t>
            </w:r>
          </w:p>
        </w:tc>
      </w:tr>
      <w:tr w:rsidR="00913351" w:rsidRPr="006A6CE3" w:rsidDel="00116403" w:rsidTr="002B1436">
        <w:trPr>
          <w:trHeight w:val="147"/>
        </w:trPr>
        <w:tc>
          <w:tcPr>
            <w:tcW w:w="1396"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Purchased goods &amp; services</w:t>
            </w:r>
          </w:p>
        </w:tc>
        <w:tc>
          <w:tcPr>
            <w:tcW w:w="857"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30,000</w:t>
            </w:r>
          </w:p>
        </w:tc>
        <w:tc>
          <w:tcPr>
            <w:tcW w:w="788"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We have only attempted to quantify emissions from our supply chains to the UK and USA operations.</w:t>
            </w:r>
          </w:p>
        </w:tc>
        <w:tc>
          <w:tcPr>
            <w:tcW w:w="680"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50</w:t>
            </w:r>
          </w:p>
        </w:tc>
        <w:tc>
          <w:tcPr>
            <w:tcW w:w="639"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Not quantified</w:t>
            </w:r>
          </w:p>
        </w:tc>
        <w:tc>
          <w:tcPr>
            <w:tcW w:w="639" w:type="pct"/>
          </w:tcPr>
          <w:p w:rsidR="00913351" w:rsidRDefault="00756635" w:rsidP="00E204D9">
            <w:pPr>
              <w:pStyle w:val="NoSpacing"/>
              <w:ind w:left="-122" w:right="-52"/>
              <w:rPr>
                <w:rFonts w:ascii="Arial" w:hAnsi="Arial" w:cs="Arial"/>
                <w:color w:val="000000"/>
                <w:sz w:val="24"/>
                <w:lang w:bidi="en-US"/>
              </w:rPr>
            </w:pPr>
            <w:r>
              <w:rPr>
                <w:rFonts w:ascii="Arial" w:hAnsi="Arial" w:cs="Arial"/>
                <w:color w:val="000000"/>
                <w:sz w:val="24"/>
                <w:lang w:bidi="en-US"/>
              </w:rPr>
              <w:t xml:space="preserve"> Not</w:t>
            </w:r>
          </w:p>
          <w:p w:rsidR="00756635" w:rsidRPr="006A6CE3" w:rsidDel="00116403" w:rsidRDefault="00756635" w:rsidP="00E204D9">
            <w:pPr>
              <w:pStyle w:val="NoSpacing"/>
              <w:ind w:left="-122" w:right="-52"/>
              <w:rPr>
                <w:rFonts w:ascii="Arial" w:hAnsi="Arial" w:cs="Arial"/>
                <w:color w:val="000000"/>
                <w:sz w:val="24"/>
                <w:lang w:bidi="en-US"/>
              </w:rPr>
            </w:pPr>
            <w:r>
              <w:rPr>
                <w:rFonts w:ascii="Arial" w:hAnsi="Arial" w:cs="Arial"/>
                <w:color w:val="000000"/>
                <w:sz w:val="24"/>
                <w:lang w:bidi="en-US"/>
              </w:rPr>
              <w:t xml:space="preserve"> quantified</w:t>
            </w:r>
          </w:p>
        </w:tc>
      </w:tr>
      <w:tr w:rsidR="00913351" w:rsidRPr="006A6CE3" w:rsidDel="00116403" w:rsidTr="002B1436">
        <w:trPr>
          <w:trHeight w:val="147"/>
        </w:trPr>
        <w:tc>
          <w:tcPr>
            <w:tcW w:w="1396"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Capital goods</w:t>
            </w:r>
          </w:p>
        </w:tc>
        <w:tc>
          <w:tcPr>
            <w:tcW w:w="857"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Not quantified</w:t>
            </w:r>
          </w:p>
        </w:tc>
        <w:tc>
          <w:tcPr>
            <w:tcW w:w="788"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We have not tried to quantify these emissions yet.</w:t>
            </w:r>
            <w:r w:rsidRPr="006A6CE3">
              <w:rPr>
                <w:rStyle w:val="FootnoteReference"/>
                <w:rFonts w:ascii="Arial" w:hAnsi="Arial" w:cs="Arial"/>
                <w:color w:val="000000"/>
                <w:sz w:val="24"/>
                <w:lang w:bidi="en-US"/>
              </w:rPr>
              <w:footnoteReference w:id="90"/>
            </w:r>
          </w:p>
        </w:tc>
        <w:tc>
          <w:tcPr>
            <w:tcW w:w="680" w:type="pct"/>
          </w:tcPr>
          <w:p w:rsidR="00913351" w:rsidRPr="006A6CE3" w:rsidRDefault="00913351" w:rsidP="00E204D9">
            <w:pPr>
              <w:pStyle w:val="NoSpacing"/>
              <w:ind w:right="-132"/>
              <w:rPr>
                <w:rFonts w:ascii="Arial" w:hAnsi="Arial" w:cs="Arial"/>
                <w:color w:val="000000"/>
                <w:sz w:val="24"/>
                <w:lang w:bidi="en-US"/>
              </w:rPr>
            </w:pPr>
            <w:r w:rsidRPr="006A6CE3">
              <w:rPr>
                <w:rFonts w:ascii="Arial" w:hAnsi="Arial" w:cs="Arial"/>
                <w:color w:val="000000"/>
                <w:sz w:val="24"/>
                <w:lang w:bidi="en-US"/>
              </w:rPr>
              <w:t>N/A</w:t>
            </w:r>
          </w:p>
        </w:tc>
        <w:tc>
          <w:tcPr>
            <w:tcW w:w="639" w:type="pct"/>
            <w:shd w:val="clear" w:color="auto" w:fill="auto"/>
          </w:tcPr>
          <w:p w:rsidR="00913351" w:rsidRPr="006A6CE3" w:rsidRDefault="00913351" w:rsidP="00E204D9">
            <w:pPr>
              <w:pStyle w:val="NoSpacing"/>
              <w:ind w:right="-132"/>
              <w:rPr>
                <w:rFonts w:ascii="Arial" w:hAnsi="Arial" w:cs="Arial"/>
                <w:color w:val="000000"/>
                <w:sz w:val="24"/>
                <w:lang w:bidi="en-US"/>
              </w:rPr>
            </w:pPr>
            <w:r w:rsidRPr="006A6CE3">
              <w:rPr>
                <w:rFonts w:ascii="Arial" w:hAnsi="Arial" w:cs="Arial"/>
                <w:color w:val="000000"/>
                <w:sz w:val="24"/>
                <w:lang w:bidi="en-US"/>
              </w:rPr>
              <w:t>Not quantified</w:t>
            </w:r>
          </w:p>
        </w:tc>
        <w:tc>
          <w:tcPr>
            <w:tcW w:w="639" w:type="pct"/>
          </w:tcPr>
          <w:p w:rsidR="00756635" w:rsidRDefault="00756635" w:rsidP="00756635">
            <w:pPr>
              <w:pStyle w:val="NoSpacing"/>
              <w:ind w:left="-122" w:right="-52"/>
              <w:rPr>
                <w:rFonts w:ascii="Arial" w:hAnsi="Arial" w:cs="Arial"/>
                <w:color w:val="000000"/>
                <w:sz w:val="24"/>
                <w:lang w:bidi="en-US"/>
              </w:rPr>
            </w:pPr>
            <w:r>
              <w:rPr>
                <w:rFonts w:ascii="Arial" w:hAnsi="Arial" w:cs="Arial"/>
                <w:color w:val="000000"/>
                <w:sz w:val="24"/>
                <w:lang w:bidi="en-US"/>
              </w:rPr>
              <w:t xml:space="preserve"> Not</w:t>
            </w:r>
          </w:p>
          <w:p w:rsidR="00913351" w:rsidRPr="006A6CE3" w:rsidDel="00116403" w:rsidRDefault="00756635" w:rsidP="00756635">
            <w:pPr>
              <w:pStyle w:val="NoSpacing"/>
              <w:ind w:left="-122" w:right="-52"/>
              <w:rPr>
                <w:rFonts w:ascii="Arial" w:hAnsi="Arial" w:cs="Arial"/>
                <w:color w:val="000000"/>
                <w:sz w:val="24"/>
                <w:lang w:bidi="en-US"/>
              </w:rPr>
            </w:pPr>
            <w:r>
              <w:rPr>
                <w:rFonts w:ascii="Arial" w:hAnsi="Arial" w:cs="Arial"/>
                <w:color w:val="000000"/>
                <w:sz w:val="24"/>
                <w:lang w:bidi="en-US"/>
              </w:rPr>
              <w:t xml:space="preserve"> quantified</w:t>
            </w:r>
          </w:p>
        </w:tc>
      </w:tr>
      <w:tr w:rsidR="00913351" w:rsidRPr="006A6CE3" w:rsidDel="00116403" w:rsidTr="002B1436">
        <w:trPr>
          <w:trHeight w:val="147"/>
        </w:trPr>
        <w:tc>
          <w:tcPr>
            <w:tcW w:w="1396"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Fuel- and energy-related activities not included in Scopes 1 &amp; 2</w:t>
            </w:r>
          </w:p>
        </w:tc>
        <w:tc>
          <w:tcPr>
            <w:tcW w:w="857"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Not quantified</w:t>
            </w:r>
          </w:p>
        </w:tc>
        <w:tc>
          <w:tcPr>
            <w:tcW w:w="788"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We have not tried to quantify these emissions yet.</w:t>
            </w:r>
          </w:p>
        </w:tc>
        <w:tc>
          <w:tcPr>
            <w:tcW w:w="680" w:type="pct"/>
          </w:tcPr>
          <w:p w:rsidR="00913351" w:rsidRPr="006A6CE3" w:rsidRDefault="00913351" w:rsidP="00E204D9">
            <w:pPr>
              <w:pStyle w:val="NoSpacing"/>
              <w:ind w:right="-132"/>
              <w:rPr>
                <w:rFonts w:ascii="Arial" w:hAnsi="Arial" w:cs="Arial"/>
                <w:color w:val="000000"/>
                <w:sz w:val="24"/>
                <w:lang w:bidi="en-US"/>
              </w:rPr>
            </w:pPr>
            <w:r w:rsidRPr="006A6CE3">
              <w:rPr>
                <w:rFonts w:ascii="Arial" w:hAnsi="Arial" w:cs="Arial"/>
                <w:color w:val="000000"/>
                <w:sz w:val="24"/>
                <w:lang w:bidi="en-US"/>
              </w:rPr>
              <w:t>N/A</w:t>
            </w:r>
          </w:p>
        </w:tc>
        <w:tc>
          <w:tcPr>
            <w:tcW w:w="639" w:type="pct"/>
            <w:shd w:val="clear" w:color="auto" w:fill="auto"/>
          </w:tcPr>
          <w:p w:rsidR="00913351" w:rsidRPr="006A6CE3" w:rsidRDefault="00913351" w:rsidP="00E204D9">
            <w:pPr>
              <w:pStyle w:val="NoSpacing"/>
              <w:ind w:right="-132"/>
              <w:rPr>
                <w:rFonts w:ascii="Arial" w:hAnsi="Arial" w:cs="Arial"/>
                <w:color w:val="000000"/>
                <w:sz w:val="24"/>
                <w:lang w:bidi="en-US"/>
              </w:rPr>
            </w:pPr>
            <w:r w:rsidRPr="006A6CE3">
              <w:rPr>
                <w:rFonts w:ascii="Arial" w:hAnsi="Arial" w:cs="Arial"/>
                <w:color w:val="000000"/>
                <w:sz w:val="24"/>
                <w:lang w:bidi="en-US"/>
              </w:rPr>
              <w:t>Not quantified</w:t>
            </w:r>
          </w:p>
        </w:tc>
        <w:tc>
          <w:tcPr>
            <w:tcW w:w="639" w:type="pct"/>
          </w:tcPr>
          <w:p w:rsidR="00756635" w:rsidRDefault="00756635" w:rsidP="00756635">
            <w:pPr>
              <w:pStyle w:val="NoSpacing"/>
              <w:ind w:left="-122" w:right="-52"/>
              <w:rPr>
                <w:rFonts w:ascii="Arial" w:hAnsi="Arial" w:cs="Arial"/>
                <w:color w:val="000000"/>
                <w:sz w:val="24"/>
                <w:lang w:bidi="en-US"/>
              </w:rPr>
            </w:pPr>
            <w:r>
              <w:rPr>
                <w:rFonts w:ascii="Arial" w:hAnsi="Arial" w:cs="Arial"/>
                <w:color w:val="000000"/>
                <w:sz w:val="24"/>
                <w:lang w:bidi="en-US"/>
              </w:rPr>
              <w:t xml:space="preserve"> Not</w:t>
            </w:r>
          </w:p>
          <w:p w:rsidR="00913351" w:rsidRPr="006A6CE3" w:rsidDel="00116403" w:rsidRDefault="00756635" w:rsidP="00756635">
            <w:pPr>
              <w:pStyle w:val="NoSpacing"/>
              <w:ind w:left="-122"/>
              <w:rPr>
                <w:rFonts w:ascii="Arial" w:hAnsi="Arial" w:cs="Arial"/>
                <w:color w:val="000000"/>
                <w:sz w:val="24"/>
                <w:lang w:bidi="en-US"/>
              </w:rPr>
            </w:pPr>
            <w:r>
              <w:rPr>
                <w:rFonts w:ascii="Arial" w:hAnsi="Arial" w:cs="Arial"/>
                <w:color w:val="000000"/>
                <w:sz w:val="24"/>
                <w:lang w:bidi="en-US"/>
              </w:rPr>
              <w:t xml:space="preserve"> quantified</w:t>
            </w:r>
          </w:p>
        </w:tc>
      </w:tr>
      <w:tr w:rsidR="00913351" w:rsidRPr="006A6CE3" w:rsidDel="00116403" w:rsidTr="002B1436">
        <w:trPr>
          <w:trHeight w:val="147"/>
        </w:trPr>
        <w:tc>
          <w:tcPr>
            <w:tcW w:w="1396"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Upstream transportation&amp; distribution</w:t>
            </w:r>
          </w:p>
        </w:tc>
        <w:tc>
          <w:tcPr>
            <w:tcW w:w="857"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Not quantified</w:t>
            </w:r>
          </w:p>
        </w:tc>
        <w:tc>
          <w:tcPr>
            <w:tcW w:w="788"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 xml:space="preserve">We do not consider these </w:t>
            </w:r>
            <w:r w:rsidRPr="006A6CE3">
              <w:rPr>
                <w:rFonts w:ascii="Arial" w:hAnsi="Arial" w:cs="Arial"/>
                <w:color w:val="000000"/>
                <w:sz w:val="24"/>
                <w:lang w:bidi="en-US"/>
              </w:rPr>
              <w:lastRenderedPageBreak/>
              <w:t xml:space="preserve">emissions relevant as estimations show that they account for less than 5% of our </w:t>
            </w:r>
            <w:r w:rsidR="00685E60">
              <w:rPr>
                <w:rFonts w:ascii="Arial" w:hAnsi="Arial" w:cs="Arial"/>
                <w:color w:val="000000"/>
                <w:sz w:val="24"/>
                <w:lang w:bidi="en-US"/>
              </w:rPr>
              <w:t>Scope</w:t>
            </w:r>
            <w:r w:rsidRPr="006A6CE3">
              <w:rPr>
                <w:rFonts w:ascii="Arial" w:hAnsi="Arial" w:cs="Arial"/>
                <w:color w:val="000000"/>
                <w:sz w:val="24"/>
                <w:lang w:bidi="en-US"/>
              </w:rPr>
              <w:t xml:space="preserve"> 1 emissions.</w:t>
            </w:r>
          </w:p>
        </w:tc>
        <w:tc>
          <w:tcPr>
            <w:tcW w:w="680"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lastRenderedPageBreak/>
              <w:t>N/A</w:t>
            </w:r>
          </w:p>
        </w:tc>
        <w:tc>
          <w:tcPr>
            <w:tcW w:w="639"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Not quantified</w:t>
            </w:r>
          </w:p>
        </w:tc>
        <w:tc>
          <w:tcPr>
            <w:tcW w:w="639" w:type="pct"/>
          </w:tcPr>
          <w:p w:rsidR="00756635" w:rsidRDefault="00756635" w:rsidP="00756635">
            <w:pPr>
              <w:pStyle w:val="NoSpacing"/>
              <w:ind w:left="-122"/>
              <w:rPr>
                <w:rFonts w:ascii="Arial" w:hAnsi="Arial" w:cs="Arial"/>
                <w:color w:val="000000"/>
                <w:sz w:val="24"/>
                <w:lang w:bidi="en-US"/>
              </w:rPr>
            </w:pPr>
            <w:r>
              <w:rPr>
                <w:rFonts w:ascii="Arial" w:hAnsi="Arial" w:cs="Arial"/>
                <w:color w:val="000000"/>
                <w:sz w:val="24"/>
                <w:lang w:bidi="en-US"/>
              </w:rPr>
              <w:t xml:space="preserve"> </w:t>
            </w:r>
            <w:r w:rsidR="00913351" w:rsidRPr="006A6CE3">
              <w:rPr>
                <w:rFonts w:ascii="Arial" w:hAnsi="Arial" w:cs="Arial"/>
                <w:color w:val="000000"/>
                <w:sz w:val="24"/>
                <w:lang w:bidi="en-US"/>
              </w:rPr>
              <w:t>Not</w:t>
            </w:r>
          </w:p>
          <w:p w:rsidR="00913351" w:rsidRPr="006A6CE3" w:rsidDel="00116403" w:rsidRDefault="00756635" w:rsidP="00756635">
            <w:pPr>
              <w:pStyle w:val="NoSpacing"/>
              <w:ind w:left="-122"/>
              <w:rPr>
                <w:rFonts w:ascii="Arial" w:hAnsi="Arial" w:cs="Arial"/>
                <w:color w:val="000000"/>
                <w:sz w:val="24"/>
                <w:lang w:bidi="en-US"/>
              </w:rPr>
            </w:pPr>
            <w:r>
              <w:rPr>
                <w:rFonts w:ascii="Arial" w:hAnsi="Arial" w:cs="Arial"/>
                <w:color w:val="000000"/>
                <w:sz w:val="24"/>
                <w:lang w:bidi="en-US"/>
              </w:rPr>
              <w:t xml:space="preserve"> </w:t>
            </w:r>
            <w:r w:rsidR="00913351" w:rsidRPr="006A6CE3">
              <w:rPr>
                <w:rFonts w:ascii="Arial" w:hAnsi="Arial" w:cs="Arial"/>
                <w:color w:val="000000"/>
                <w:sz w:val="24"/>
                <w:lang w:bidi="en-US"/>
              </w:rPr>
              <w:t>quantified</w:t>
            </w:r>
          </w:p>
        </w:tc>
      </w:tr>
      <w:tr w:rsidR="00913351" w:rsidRPr="006A6CE3" w:rsidDel="00116403" w:rsidTr="002B1436">
        <w:trPr>
          <w:trHeight w:val="887"/>
        </w:trPr>
        <w:tc>
          <w:tcPr>
            <w:tcW w:w="1396"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lastRenderedPageBreak/>
              <w:t>Waste generated in operations</w:t>
            </w:r>
          </w:p>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Activities included: process waste only.</w:t>
            </w:r>
          </w:p>
          <w:p w:rsidR="00913351" w:rsidRPr="006A6CE3" w:rsidRDefault="00913351" w:rsidP="00E204D9">
            <w:pPr>
              <w:pStyle w:val="NoSpacing"/>
              <w:rPr>
                <w:rFonts w:ascii="Arial" w:hAnsi="Arial" w:cs="Arial"/>
                <w:color w:val="000000"/>
                <w:sz w:val="24"/>
                <w:lang w:bidi="en-US"/>
              </w:rPr>
            </w:pPr>
          </w:p>
        </w:tc>
        <w:tc>
          <w:tcPr>
            <w:tcW w:w="857"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2,530</w:t>
            </w:r>
          </w:p>
        </w:tc>
        <w:tc>
          <w:tcPr>
            <w:tcW w:w="788"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Office waste not included as yet as thought to be less significant than process waste.</w:t>
            </w:r>
          </w:p>
        </w:tc>
        <w:tc>
          <w:tcPr>
            <w:tcW w:w="680"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15</w:t>
            </w:r>
          </w:p>
        </w:tc>
        <w:tc>
          <w:tcPr>
            <w:tcW w:w="639"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2,540</w:t>
            </w:r>
          </w:p>
        </w:tc>
        <w:tc>
          <w:tcPr>
            <w:tcW w:w="639" w:type="pct"/>
          </w:tcPr>
          <w:p w:rsidR="00560546" w:rsidRDefault="00560546" w:rsidP="00E204D9">
            <w:pPr>
              <w:pStyle w:val="NoSpacing"/>
              <w:ind w:left="-122"/>
              <w:rPr>
                <w:rFonts w:ascii="Arial" w:hAnsi="Arial" w:cs="Arial"/>
                <w:color w:val="000000"/>
                <w:sz w:val="24"/>
                <w:lang w:bidi="en-US"/>
              </w:rPr>
            </w:pPr>
            <w:r>
              <w:rPr>
                <w:rFonts w:ascii="Arial" w:hAnsi="Arial" w:cs="Arial"/>
                <w:color w:val="000000"/>
                <w:sz w:val="24"/>
                <w:lang w:bidi="en-US"/>
              </w:rPr>
              <w:t xml:space="preserve"> </w:t>
            </w:r>
            <w:r w:rsidR="00913351" w:rsidRPr="006A6CE3">
              <w:rPr>
                <w:rFonts w:ascii="Arial" w:hAnsi="Arial" w:cs="Arial"/>
                <w:color w:val="000000"/>
                <w:sz w:val="24"/>
                <w:lang w:bidi="en-US"/>
              </w:rPr>
              <w:t xml:space="preserve">Not </w:t>
            </w:r>
          </w:p>
          <w:p w:rsidR="00913351" w:rsidRPr="006A6CE3" w:rsidDel="00116403" w:rsidRDefault="00560546" w:rsidP="00E204D9">
            <w:pPr>
              <w:pStyle w:val="NoSpacing"/>
              <w:ind w:left="-122"/>
              <w:rPr>
                <w:rFonts w:ascii="Arial" w:hAnsi="Arial" w:cs="Arial"/>
                <w:color w:val="000000"/>
                <w:sz w:val="24"/>
                <w:lang w:bidi="en-US"/>
              </w:rPr>
            </w:pPr>
            <w:r>
              <w:rPr>
                <w:rFonts w:ascii="Arial" w:hAnsi="Arial" w:cs="Arial"/>
                <w:color w:val="000000"/>
                <w:sz w:val="24"/>
                <w:lang w:bidi="en-US"/>
              </w:rPr>
              <w:t xml:space="preserve"> </w:t>
            </w:r>
            <w:r w:rsidR="00913351" w:rsidRPr="006A6CE3">
              <w:rPr>
                <w:rFonts w:ascii="Arial" w:hAnsi="Arial" w:cs="Arial"/>
                <w:color w:val="000000"/>
                <w:sz w:val="24"/>
                <w:lang w:bidi="en-US"/>
              </w:rPr>
              <w:t>quantified</w:t>
            </w:r>
          </w:p>
        </w:tc>
      </w:tr>
      <w:tr w:rsidR="00913351" w:rsidRPr="006A6CE3" w:rsidDel="00116403" w:rsidTr="002B1436">
        <w:trPr>
          <w:trHeight w:val="597"/>
        </w:trPr>
        <w:tc>
          <w:tcPr>
            <w:tcW w:w="1396"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 xml:space="preserve"> Business travel</w:t>
            </w:r>
          </w:p>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Activities included: flights, train, rental car trips.</w:t>
            </w:r>
          </w:p>
        </w:tc>
        <w:tc>
          <w:tcPr>
            <w:tcW w:w="857"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6,190</w:t>
            </w:r>
          </w:p>
        </w:tc>
        <w:tc>
          <w:tcPr>
            <w:tcW w:w="788"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Bus trips excluded from inventory as little-used.</w:t>
            </w:r>
          </w:p>
        </w:tc>
        <w:tc>
          <w:tcPr>
            <w:tcW w:w="680"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10</w:t>
            </w:r>
          </w:p>
        </w:tc>
        <w:tc>
          <w:tcPr>
            <w:tcW w:w="639"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7,000</w:t>
            </w:r>
          </w:p>
        </w:tc>
        <w:tc>
          <w:tcPr>
            <w:tcW w:w="639" w:type="pct"/>
          </w:tcPr>
          <w:p w:rsidR="00913351" w:rsidRPr="006A6CE3" w:rsidDel="0011640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8,000</w:t>
            </w:r>
          </w:p>
        </w:tc>
      </w:tr>
      <w:tr w:rsidR="00913351" w:rsidRPr="006A6CE3" w:rsidDel="00116403" w:rsidTr="002B1436">
        <w:trPr>
          <w:trHeight w:val="1484"/>
        </w:trPr>
        <w:tc>
          <w:tcPr>
            <w:tcW w:w="1396"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 xml:space="preserve"> Employee commuting</w:t>
            </w:r>
          </w:p>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Activities included: car and train trips only.</w:t>
            </w:r>
          </w:p>
        </w:tc>
        <w:tc>
          <w:tcPr>
            <w:tcW w:w="857"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690</w:t>
            </w:r>
          </w:p>
        </w:tc>
        <w:tc>
          <w:tcPr>
            <w:tcW w:w="788"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Bus trips not included as yet as other modes of transport thought to be more significant. Excluded from inventory as seem to be little-used.</w:t>
            </w:r>
          </w:p>
        </w:tc>
        <w:tc>
          <w:tcPr>
            <w:tcW w:w="680"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25</w:t>
            </w:r>
          </w:p>
        </w:tc>
        <w:tc>
          <w:tcPr>
            <w:tcW w:w="639"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700</w:t>
            </w:r>
          </w:p>
        </w:tc>
        <w:tc>
          <w:tcPr>
            <w:tcW w:w="639" w:type="pct"/>
          </w:tcPr>
          <w:p w:rsidR="00560546" w:rsidRDefault="00560546" w:rsidP="00E204D9">
            <w:pPr>
              <w:pStyle w:val="NoSpacing"/>
              <w:ind w:left="-122"/>
              <w:rPr>
                <w:rFonts w:ascii="Arial" w:hAnsi="Arial" w:cs="Arial"/>
                <w:color w:val="000000"/>
                <w:sz w:val="24"/>
                <w:lang w:bidi="en-US"/>
              </w:rPr>
            </w:pPr>
            <w:r>
              <w:rPr>
                <w:rFonts w:ascii="Arial" w:hAnsi="Arial" w:cs="Arial"/>
                <w:color w:val="000000"/>
                <w:sz w:val="24"/>
                <w:lang w:bidi="en-US"/>
              </w:rPr>
              <w:t xml:space="preserve"> </w:t>
            </w:r>
            <w:r w:rsidR="00913351" w:rsidRPr="006A6CE3">
              <w:rPr>
                <w:rFonts w:ascii="Arial" w:hAnsi="Arial" w:cs="Arial"/>
                <w:color w:val="000000"/>
                <w:sz w:val="24"/>
                <w:lang w:bidi="en-US"/>
              </w:rPr>
              <w:t xml:space="preserve">Not </w:t>
            </w:r>
          </w:p>
          <w:p w:rsidR="00913351" w:rsidRPr="006A6CE3" w:rsidDel="00116403" w:rsidRDefault="00560546" w:rsidP="00E204D9">
            <w:pPr>
              <w:pStyle w:val="NoSpacing"/>
              <w:ind w:left="-122"/>
              <w:rPr>
                <w:rFonts w:ascii="Arial" w:hAnsi="Arial" w:cs="Arial"/>
                <w:color w:val="000000"/>
                <w:sz w:val="24"/>
                <w:lang w:bidi="en-US"/>
              </w:rPr>
            </w:pPr>
            <w:r>
              <w:rPr>
                <w:rFonts w:ascii="Arial" w:hAnsi="Arial" w:cs="Arial"/>
                <w:color w:val="000000"/>
                <w:sz w:val="24"/>
                <w:lang w:bidi="en-US"/>
              </w:rPr>
              <w:t xml:space="preserve"> </w:t>
            </w:r>
            <w:r w:rsidR="00913351" w:rsidRPr="006A6CE3">
              <w:rPr>
                <w:rFonts w:ascii="Arial" w:hAnsi="Arial" w:cs="Arial"/>
                <w:color w:val="000000"/>
                <w:sz w:val="24"/>
                <w:lang w:bidi="en-US"/>
              </w:rPr>
              <w:t>quantified</w:t>
            </w:r>
          </w:p>
        </w:tc>
      </w:tr>
      <w:tr w:rsidR="00913351" w:rsidRPr="006A6CE3" w:rsidDel="00116403" w:rsidTr="002B1436">
        <w:trPr>
          <w:trHeight w:val="579"/>
        </w:trPr>
        <w:tc>
          <w:tcPr>
            <w:tcW w:w="1396"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Upstream leased assets</w:t>
            </w:r>
          </w:p>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 xml:space="preserve">Activities included: All upstream leased assets. </w:t>
            </w:r>
          </w:p>
        </w:tc>
        <w:tc>
          <w:tcPr>
            <w:tcW w:w="857"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4,500</w:t>
            </w:r>
          </w:p>
        </w:tc>
        <w:tc>
          <w:tcPr>
            <w:tcW w:w="788"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None</w:t>
            </w:r>
          </w:p>
        </w:tc>
        <w:tc>
          <w:tcPr>
            <w:tcW w:w="680"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15</w:t>
            </w:r>
          </w:p>
        </w:tc>
        <w:tc>
          <w:tcPr>
            <w:tcW w:w="639"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4,450</w:t>
            </w:r>
          </w:p>
        </w:tc>
        <w:tc>
          <w:tcPr>
            <w:tcW w:w="639" w:type="pct"/>
          </w:tcPr>
          <w:p w:rsidR="00913351" w:rsidRPr="006A6CE3" w:rsidDel="00116403" w:rsidRDefault="00913351" w:rsidP="00560546">
            <w:pPr>
              <w:pStyle w:val="NoSpacing"/>
              <w:rPr>
                <w:rFonts w:ascii="Arial" w:hAnsi="Arial" w:cs="Arial"/>
                <w:color w:val="000000"/>
                <w:sz w:val="24"/>
                <w:lang w:bidi="en-US"/>
              </w:rPr>
            </w:pPr>
            <w:r w:rsidRPr="006A6CE3">
              <w:rPr>
                <w:rFonts w:ascii="Arial" w:hAnsi="Arial" w:cs="Arial"/>
                <w:color w:val="000000"/>
                <w:sz w:val="24"/>
                <w:lang w:bidi="en-US"/>
              </w:rPr>
              <w:t>Not quantified</w:t>
            </w:r>
          </w:p>
        </w:tc>
      </w:tr>
      <w:tr w:rsidR="00913351" w:rsidRPr="006A6CE3" w:rsidDel="00116403" w:rsidTr="002B1436">
        <w:trPr>
          <w:trHeight w:val="1484"/>
        </w:trPr>
        <w:tc>
          <w:tcPr>
            <w:tcW w:w="1396"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 xml:space="preserve">Downstream transportation &amp; distribution </w:t>
            </w:r>
          </w:p>
        </w:tc>
        <w:tc>
          <w:tcPr>
            <w:tcW w:w="857"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Not quantified</w:t>
            </w:r>
          </w:p>
        </w:tc>
        <w:tc>
          <w:tcPr>
            <w:tcW w:w="788"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 xml:space="preserve">We do not consider these emissions relevant as estimations show that </w:t>
            </w:r>
            <w:r w:rsidRPr="006A6CE3">
              <w:rPr>
                <w:rFonts w:ascii="Arial" w:hAnsi="Arial" w:cs="Arial"/>
                <w:color w:val="000000"/>
                <w:sz w:val="24"/>
                <w:lang w:bidi="en-US"/>
              </w:rPr>
              <w:lastRenderedPageBreak/>
              <w:t>they account for less than 5% of our Scope 1 emissions</w:t>
            </w:r>
          </w:p>
        </w:tc>
        <w:tc>
          <w:tcPr>
            <w:tcW w:w="680"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lastRenderedPageBreak/>
              <w:t>N/A</w:t>
            </w:r>
          </w:p>
        </w:tc>
        <w:tc>
          <w:tcPr>
            <w:tcW w:w="639"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Not quantified</w:t>
            </w:r>
          </w:p>
        </w:tc>
        <w:tc>
          <w:tcPr>
            <w:tcW w:w="639" w:type="pct"/>
          </w:tcPr>
          <w:p w:rsidR="00913351" w:rsidRPr="006A6CE3" w:rsidDel="00116403" w:rsidRDefault="00913351" w:rsidP="00560546">
            <w:pPr>
              <w:pStyle w:val="NoSpacing"/>
              <w:rPr>
                <w:rFonts w:ascii="Arial" w:hAnsi="Arial" w:cs="Arial"/>
                <w:color w:val="000000"/>
                <w:sz w:val="24"/>
                <w:lang w:bidi="en-US"/>
              </w:rPr>
            </w:pPr>
            <w:r w:rsidRPr="006A6CE3">
              <w:rPr>
                <w:rFonts w:ascii="Arial" w:hAnsi="Arial" w:cs="Arial"/>
                <w:color w:val="000000"/>
                <w:sz w:val="24"/>
                <w:lang w:bidi="en-US"/>
              </w:rPr>
              <w:t>Not quantified</w:t>
            </w:r>
          </w:p>
        </w:tc>
      </w:tr>
      <w:tr w:rsidR="00913351" w:rsidRPr="006A6CE3" w:rsidDel="00116403" w:rsidTr="002B1436">
        <w:trPr>
          <w:trHeight w:val="597"/>
        </w:trPr>
        <w:tc>
          <w:tcPr>
            <w:tcW w:w="1396"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lastRenderedPageBreak/>
              <w:t>Processing of sold products</w:t>
            </w:r>
          </w:p>
        </w:tc>
        <w:tc>
          <w:tcPr>
            <w:tcW w:w="857"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Not quantified</w:t>
            </w:r>
          </w:p>
        </w:tc>
        <w:tc>
          <w:tcPr>
            <w:tcW w:w="788"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We have not tried to quantify these emissions yet.</w:t>
            </w:r>
          </w:p>
        </w:tc>
        <w:tc>
          <w:tcPr>
            <w:tcW w:w="680"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N/A</w:t>
            </w:r>
          </w:p>
        </w:tc>
        <w:tc>
          <w:tcPr>
            <w:tcW w:w="639"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Not quantified</w:t>
            </w:r>
          </w:p>
        </w:tc>
        <w:tc>
          <w:tcPr>
            <w:tcW w:w="639" w:type="pct"/>
          </w:tcPr>
          <w:p w:rsidR="00913351" w:rsidRPr="006A6CE3" w:rsidDel="00116403" w:rsidRDefault="00913351" w:rsidP="00560546">
            <w:pPr>
              <w:pStyle w:val="NoSpacing"/>
              <w:ind w:right="-52"/>
              <w:rPr>
                <w:rFonts w:ascii="Arial" w:hAnsi="Arial" w:cs="Arial"/>
                <w:color w:val="000000"/>
                <w:sz w:val="24"/>
                <w:lang w:bidi="en-US"/>
              </w:rPr>
            </w:pPr>
            <w:r w:rsidRPr="006A6CE3">
              <w:rPr>
                <w:rFonts w:ascii="Arial" w:hAnsi="Arial" w:cs="Arial"/>
                <w:color w:val="000000"/>
                <w:sz w:val="24"/>
                <w:lang w:bidi="en-US"/>
              </w:rPr>
              <w:t>Not quantified</w:t>
            </w:r>
          </w:p>
        </w:tc>
      </w:tr>
      <w:tr w:rsidR="00913351" w:rsidRPr="006A6CE3" w:rsidDel="00116403" w:rsidTr="002B1436">
        <w:trPr>
          <w:trHeight w:val="597"/>
        </w:trPr>
        <w:tc>
          <w:tcPr>
            <w:tcW w:w="1396"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Use of sold products</w:t>
            </w:r>
          </w:p>
        </w:tc>
        <w:tc>
          <w:tcPr>
            <w:tcW w:w="857"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Not quantified</w:t>
            </w:r>
          </w:p>
        </w:tc>
        <w:tc>
          <w:tcPr>
            <w:tcW w:w="788"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We have not tried to quantify these emissions yet.</w:t>
            </w:r>
          </w:p>
        </w:tc>
        <w:tc>
          <w:tcPr>
            <w:tcW w:w="680"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N/A</w:t>
            </w:r>
          </w:p>
        </w:tc>
        <w:tc>
          <w:tcPr>
            <w:tcW w:w="639"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Not quantified</w:t>
            </w:r>
          </w:p>
        </w:tc>
        <w:tc>
          <w:tcPr>
            <w:tcW w:w="639" w:type="pct"/>
          </w:tcPr>
          <w:p w:rsidR="00913351" w:rsidRPr="006A6CE3" w:rsidDel="00116403" w:rsidRDefault="00913351" w:rsidP="00560546">
            <w:pPr>
              <w:pStyle w:val="NoSpacing"/>
              <w:rPr>
                <w:rFonts w:ascii="Arial" w:hAnsi="Arial" w:cs="Arial"/>
                <w:color w:val="000000"/>
                <w:sz w:val="24"/>
                <w:lang w:bidi="en-US"/>
              </w:rPr>
            </w:pPr>
            <w:r w:rsidRPr="006A6CE3">
              <w:rPr>
                <w:rFonts w:ascii="Arial" w:hAnsi="Arial" w:cs="Arial"/>
                <w:color w:val="000000"/>
                <w:sz w:val="24"/>
                <w:lang w:bidi="en-US"/>
              </w:rPr>
              <w:t>Not quantified</w:t>
            </w:r>
          </w:p>
        </w:tc>
      </w:tr>
      <w:tr w:rsidR="00913351" w:rsidRPr="006A6CE3" w:rsidDel="00116403" w:rsidTr="002B1436">
        <w:trPr>
          <w:trHeight w:val="579"/>
        </w:trPr>
        <w:tc>
          <w:tcPr>
            <w:tcW w:w="1396"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End-of-life treatment of sold products</w:t>
            </w:r>
          </w:p>
        </w:tc>
        <w:tc>
          <w:tcPr>
            <w:tcW w:w="857"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Not quantified</w:t>
            </w:r>
          </w:p>
        </w:tc>
        <w:tc>
          <w:tcPr>
            <w:tcW w:w="788"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We have not tried to quantify these emissions yet.</w:t>
            </w:r>
          </w:p>
        </w:tc>
        <w:tc>
          <w:tcPr>
            <w:tcW w:w="680"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N/A</w:t>
            </w:r>
          </w:p>
        </w:tc>
        <w:tc>
          <w:tcPr>
            <w:tcW w:w="639"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Not quantified</w:t>
            </w:r>
          </w:p>
        </w:tc>
        <w:tc>
          <w:tcPr>
            <w:tcW w:w="639" w:type="pct"/>
          </w:tcPr>
          <w:p w:rsidR="00913351" w:rsidRPr="006A6CE3" w:rsidDel="00116403" w:rsidRDefault="00913351" w:rsidP="00560546">
            <w:pPr>
              <w:pStyle w:val="NoSpacing"/>
              <w:rPr>
                <w:rFonts w:ascii="Arial" w:hAnsi="Arial" w:cs="Arial"/>
                <w:color w:val="000000"/>
                <w:sz w:val="24"/>
                <w:lang w:bidi="en-US"/>
              </w:rPr>
            </w:pPr>
            <w:r w:rsidRPr="006A6CE3">
              <w:rPr>
                <w:rFonts w:ascii="Arial" w:hAnsi="Arial" w:cs="Arial"/>
                <w:color w:val="000000"/>
                <w:sz w:val="24"/>
                <w:lang w:bidi="en-US"/>
              </w:rPr>
              <w:t>Not quantified</w:t>
            </w:r>
          </w:p>
        </w:tc>
      </w:tr>
      <w:tr w:rsidR="00913351" w:rsidRPr="006A6CE3" w:rsidDel="00116403" w:rsidTr="002B1436">
        <w:trPr>
          <w:trHeight w:val="615"/>
        </w:trPr>
        <w:tc>
          <w:tcPr>
            <w:tcW w:w="1396"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Downstream leased assets</w:t>
            </w:r>
          </w:p>
        </w:tc>
        <w:tc>
          <w:tcPr>
            <w:tcW w:w="857"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0</w:t>
            </w:r>
          </w:p>
        </w:tc>
        <w:tc>
          <w:tcPr>
            <w:tcW w:w="788"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We do not have any leased out assets.</w:t>
            </w:r>
          </w:p>
        </w:tc>
        <w:tc>
          <w:tcPr>
            <w:tcW w:w="680"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0</w:t>
            </w:r>
          </w:p>
        </w:tc>
        <w:tc>
          <w:tcPr>
            <w:tcW w:w="639"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0</w:t>
            </w:r>
          </w:p>
        </w:tc>
        <w:tc>
          <w:tcPr>
            <w:tcW w:w="639" w:type="pct"/>
          </w:tcPr>
          <w:p w:rsidR="00913351" w:rsidRPr="006A6CE3" w:rsidDel="00116403" w:rsidRDefault="00913351" w:rsidP="00560546">
            <w:pPr>
              <w:pStyle w:val="NoSpacing"/>
              <w:rPr>
                <w:rFonts w:ascii="Arial" w:hAnsi="Arial" w:cs="Arial"/>
                <w:color w:val="000000"/>
                <w:sz w:val="24"/>
                <w:lang w:bidi="en-US"/>
              </w:rPr>
            </w:pPr>
            <w:r w:rsidRPr="006A6CE3">
              <w:rPr>
                <w:rFonts w:ascii="Arial" w:hAnsi="Arial" w:cs="Arial"/>
                <w:color w:val="000000"/>
                <w:sz w:val="24"/>
                <w:lang w:bidi="en-US"/>
              </w:rPr>
              <w:t>Not quantified</w:t>
            </w:r>
          </w:p>
        </w:tc>
      </w:tr>
      <w:tr w:rsidR="00913351" w:rsidRPr="006A6CE3" w:rsidDel="00116403" w:rsidTr="002B1436">
        <w:trPr>
          <w:trHeight w:val="1194"/>
        </w:trPr>
        <w:tc>
          <w:tcPr>
            <w:tcW w:w="1396"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Franchises</w:t>
            </w:r>
          </w:p>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Activities included: fuel &amp; electricity use in franchises.</w:t>
            </w:r>
          </w:p>
        </w:tc>
        <w:tc>
          <w:tcPr>
            <w:tcW w:w="857"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14,000</w:t>
            </w:r>
          </w:p>
        </w:tc>
        <w:tc>
          <w:tcPr>
            <w:tcW w:w="788"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Data not collected for any other emission sources. We do not know what % they may represent.</w:t>
            </w:r>
          </w:p>
        </w:tc>
        <w:tc>
          <w:tcPr>
            <w:tcW w:w="680"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10</w:t>
            </w:r>
          </w:p>
        </w:tc>
        <w:tc>
          <w:tcPr>
            <w:tcW w:w="639"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14100</w:t>
            </w:r>
          </w:p>
        </w:tc>
        <w:tc>
          <w:tcPr>
            <w:tcW w:w="639" w:type="pct"/>
          </w:tcPr>
          <w:p w:rsidR="00913351" w:rsidRPr="006A6CE3" w:rsidDel="00116403" w:rsidRDefault="00913351" w:rsidP="00560546">
            <w:pPr>
              <w:pStyle w:val="NoSpacing"/>
              <w:rPr>
                <w:rFonts w:ascii="Arial" w:hAnsi="Arial" w:cs="Arial"/>
                <w:color w:val="000000"/>
                <w:sz w:val="24"/>
                <w:lang w:bidi="en-US"/>
              </w:rPr>
            </w:pPr>
            <w:r w:rsidRPr="006A6CE3">
              <w:rPr>
                <w:rFonts w:ascii="Arial" w:hAnsi="Arial" w:cs="Arial"/>
                <w:color w:val="000000"/>
                <w:sz w:val="24"/>
                <w:lang w:bidi="en-US"/>
              </w:rPr>
              <w:t>Not quantified</w:t>
            </w:r>
          </w:p>
        </w:tc>
      </w:tr>
      <w:tr w:rsidR="00913351" w:rsidRPr="006A6CE3" w:rsidDel="00116403" w:rsidTr="002B1436">
        <w:trPr>
          <w:trHeight w:val="597"/>
        </w:trPr>
        <w:tc>
          <w:tcPr>
            <w:tcW w:w="1396"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Investments</w:t>
            </w:r>
            <w:r w:rsidRPr="006A6CE3">
              <w:rPr>
                <w:rStyle w:val="FootnoteReference"/>
                <w:rFonts w:ascii="Arial" w:hAnsi="Arial" w:cs="Arial"/>
                <w:color w:val="000000"/>
                <w:sz w:val="24"/>
                <w:lang w:bidi="en-US"/>
              </w:rPr>
              <w:footnoteReference w:id="91"/>
            </w:r>
          </w:p>
        </w:tc>
        <w:tc>
          <w:tcPr>
            <w:tcW w:w="857"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 xml:space="preserve"> 0</w:t>
            </w:r>
          </w:p>
        </w:tc>
        <w:tc>
          <w:tcPr>
            <w:tcW w:w="788" w:type="pct"/>
            <w:tcBorders>
              <w:right w:val="single" w:sz="4" w:space="0" w:color="auto"/>
            </w:tcBorders>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 xml:space="preserve">We have not tried to quantify these emissions yet. </w:t>
            </w:r>
          </w:p>
        </w:tc>
        <w:tc>
          <w:tcPr>
            <w:tcW w:w="680" w:type="pct"/>
            <w:tcBorders>
              <w:left w:val="single" w:sz="4" w:space="0" w:color="auto"/>
            </w:tcBorders>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N/A</w:t>
            </w:r>
          </w:p>
        </w:tc>
        <w:tc>
          <w:tcPr>
            <w:tcW w:w="639" w:type="pct"/>
            <w:shd w:val="clear" w:color="auto" w:fill="auto"/>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0</w:t>
            </w:r>
          </w:p>
        </w:tc>
        <w:tc>
          <w:tcPr>
            <w:tcW w:w="639" w:type="pct"/>
          </w:tcPr>
          <w:p w:rsidR="00913351" w:rsidRPr="006A6CE3" w:rsidDel="0011640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Not quantified</w:t>
            </w:r>
          </w:p>
        </w:tc>
      </w:tr>
      <w:tr w:rsidR="00913351" w:rsidRPr="006A6CE3" w:rsidTr="002B1436">
        <w:trPr>
          <w:trHeight w:val="597"/>
        </w:trPr>
        <w:tc>
          <w:tcPr>
            <w:tcW w:w="1396"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lastRenderedPageBreak/>
              <w:t>Biogenic emissions</w:t>
            </w:r>
          </w:p>
        </w:tc>
        <w:tc>
          <w:tcPr>
            <w:tcW w:w="857"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10,000</w:t>
            </w:r>
          </w:p>
        </w:tc>
        <w:tc>
          <w:tcPr>
            <w:tcW w:w="788" w:type="pct"/>
            <w:tcBorders>
              <w:right w:val="single" w:sz="4" w:space="0" w:color="auto"/>
            </w:tcBorders>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None</w:t>
            </w:r>
          </w:p>
        </w:tc>
        <w:tc>
          <w:tcPr>
            <w:tcW w:w="680" w:type="pct"/>
            <w:tcBorders>
              <w:left w:val="single" w:sz="4" w:space="0" w:color="auto"/>
            </w:tcBorders>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10</w:t>
            </w:r>
          </w:p>
        </w:tc>
        <w:tc>
          <w:tcPr>
            <w:tcW w:w="639"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11,000</w:t>
            </w:r>
          </w:p>
        </w:tc>
        <w:tc>
          <w:tcPr>
            <w:tcW w:w="639" w:type="pct"/>
          </w:tcPr>
          <w:p w:rsidR="00913351" w:rsidRPr="006A6CE3" w:rsidRDefault="00913351" w:rsidP="00E204D9">
            <w:pPr>
              <w:pStyle w:val="NoSpacing"/>
              <w:rPr>
                <w:rFonts w:ascii="Arial" w:hAnsi="Arial" w:cs="Arial"/>
                <w:color w:val="000000"/>
                <w:sz w:val="24"/>
                <w:lang w:bidi="en-US"/>
              </w:rPr>
            </w:pPr>
            <w:r w:rsidRPr="006A6CE3">
              <w:rPr>
                <w:rFonts w:ascii="Arial" w:hAnsi="Arial" w:cs="Arial"/>
                <w:color w:val="000000"/>
                <w:sz w:val="24"/>
                <w:lang w:bidi="en-US"/>
              </w:rPr>
              <w:t>Not quantified</w:t>
            </w:r>
          </w:p>
        </w:tc>
      </w:tr>
    </w:tbl>
    <w:p w:rsidR="00FC7F04" w:rsidRDefault="00FC7F04" w:rsidP="002B1436">
      <w:pPr>
        <w:pStyle w:val="Caption"/>
      </w:pPr>
      <w:r w:rsidRPr="002B1436">
        <w:rPr>
          <w:highlight w:val="yellow"/>
        </w:rPr>
        <w:t xml:space="preserve">Table </w:t>
      </w:r>
      <w:r w:rsidRPr="002B1436">
        <w:rPr>
          <w:highlight w:val="yellow"/>
        </w:rPr>
        <w:fldChar w:fldCharType="begin"/>
      </w:r>
      <w:r w:rsidRPr="002B1436">
        <w:rPr>
          <w:highlight w:val="yellow"/>
        </w:rPr>
        <w:instrText xml:space="preserve"> SEQ Table \* ARABIC </w:instrText>
      </w:r>
      <w:r w:rsidRPr="002B1436">
        <w:rPr>
          <w:highlight w:val="yellow"/>
        </w:rPr>
        <w:fldChar w:fldCharType="separate"/>
      </w:r>
      <w:r w:rsidR="005D6D80" w:rsidRPr="002B1436">
        <w:rPr>
          <w:noProof/>
          <w:highlight w:val="yellow"/>
        </w:rPr>
        <w:t>3</w:t>
      </w:r>
      <w:r w:rsidRPr="002B1436">
        <w:rPr>
          <w:highlight w:val="yellow"/>
        </w:rPr>
        <w:fldChar w:fldCharType="end"/>
      </w:r>
      <w:r w:rsidR="001C5116" w:rsidRPr="002B1436">
        <w:rPr>
          <w:highlight w:val="yellow"/>
        </w:rPr>
        <w:t xml:space="preserve"> – Emissions intensity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1435"/>
        <w:gridCol w:w="1895"/>
        <w:gridCol w:w="1387"/>
        <w:gridCol w:w="1387"/>
      </w:tblGrid>
      <w:tr w:rsidR="00680B4A" w:rsidRPr="006A6CE3" w:rsidTr="0066199D">
        <w:tc>
          <w:tcPr>
            <w:tcW w:w="2310" w:type="dxa"/>
          </w:tcPr>
          <w:p w:rsidR="00680B4A" w:rsidRPr="006A6CE3" w:rsidRDefault="00680B4A" w:rsidP="0066199D">
            <w:pPr>
              <w:pStyle w:val="NoSpacing"/>
              <w:rPr>
                <w:rFonts w:ascii="Arial" w:hAnsi="Arial" w:cs="Arial"/>
                <w:sz w:val="24"/>
                <w:lang w:bidi="en-US"/>
              </w:rPr>
            </w:pPr>
          </w:p>
        </w:tc>
        <w:tc>
          <w:tcPr>
            <w:tcW w:w="1435" w:type="dxa"/>
          </w:tcPr>
          <w:p w:rsidR="00680B4A" w:rsidRPr="002B1436" w:rsidRDefault="00680B4A" w:rsidP="00EB34D3">
            <w:pPr>
              <w:pStyle w:val="NoSpacing"/>
              <w:rPr>
                <w:rFonts w:ascii="Arial" w:hAnsi="Arial" w:cs="Arial"/>
                <w:b/>
                <w:sz w:val="24"/>
                <w:highlight w:val="yellow"/>
                <w:lang w:bidi="en-US"/>
              </w:rPr>
            </w:pPr>
            <w:r w:rsidRPr="002B1436">
              <w:rPr>
                <w:rFonts w:ascii="Arial" w:hAnsi="Arial" w:cs="Arial"/>
                <w:b/>
                <w:sz w:val="24"/>
                <w:highlight w:val="yellow"/>
                <w:lang w:bidi="en-US"/>
              </w:rPr>
              <w:t xml:space="preserve">2013-2014 </w:t>
            </w:r>
          </w:p>
        </w:tc>
        <w:tc>
          <w:tcPr>
            <w:tcW w:w="1895" w:type="dxa"/>
          </w:tcPr>
          <w:p w:rsidR="00680B4A" w:rsidRPr="006A6CE3" w:rsidRDefault="00680B4A" w:rsidP="0066199D">
            <w:pPr>
              <w:pStyle w:val="NoSpacing"/>
              <w:rPr>
                <w:rFonts w:ascii="Arial" w:hAnsi="Arial" w:cs="Arial"/>
                <w:b/>
                <w:sz w:val="24"/>
                <w:lang w:bidi="en-US"/>
              </w:rPr>
            </w:pPr>
            <w:r w:rsidRPr="006A6CE3">
              <w:rPr>
                <w:rFonts w:ascii="Arial" w:hAnsi="Arial" w:cs="Arial"/>
                <w:b/>
                <w:sz w:val="24"/>
                <w:lang w:bidi="en-US"/>
              </w:rPr>
              <w:t>Exclusions</w:t>
            </w:r>
          </w:p>
        </w:tc>
        <w:tc>
          <w:tcPr>
            <w:tcW w:w="1387" w:type="dxa"/>
          </w:tcPr>
          <w:p w:rsidR="00680B4A" w:rsidRPr="006A6CE3" w:rsidRDefault="00680B4A" w:rsidP="0066199D">
            <w:pPr>
              <w:pStyle w:val="NoSpacing"/>
              <w:rPr>
                <w:rFonts w:ascii="Arial" w:hAnsi="Arial" w:cs="Arial"/>
                <w:b/>
                <w:sz w:val="24"/>
                <w:lang w:bidi="en-US"/>
              </w:rPr>
            </w:pPr>
            <w:r w:rsidRPr="006A6CE3">
              <w:rPr>
                <w:rFonts w:ascii="Arial" w:hAnsi="Arial" w:cs="Arial"/>
                <w:b/>
                <w:sz w:val="24"/>
                <w:lang w:bidi="en-US"/>
              </w:rPr>
              <w:t>2012-2013</w:t>
            </w:r>
          </w:p>
        </w:tc>
        <w:tc>
          <w:tcPr>
            <w:tcW w:w="1387" w:type="dxa"/>
          </w:tcPr>
          <w:p w:rsidR="00680B4A" w:rsidRPr="006A6CE3" w:rsidRDefault="00680B4A" w:rsidP="0066199D">
            <w:pPr>
              <w:pStyle w:val="NoSpacing"/>
              <w:rPr>
                <w:rFonts w:ascii="Arial" w:hAnsi="Arial" w:cs="Arial"/>
                <w:b/>
                <w:sz w:val="24"/>
                <w:lang w:bidi="en-US"/>
              </w:rPr>
            </w:pPr>
            <w:r w:rsidRPr="006A6CE3">
              <w:rPr>
                <w:rFonts w:ascii="Arial" w:hAnsi="Arial" w:cs="Arial"/>
                <w:b/>
                <w:sz w:val="24"/>
                <w:lang w:bidi="en-US"/>
              </w:rPr>
              <w:t>2006-2007</w:t>
            </w:r>
          </w:p>
        </w:tc>
      </w:tr>
      <w:tr w:rsidR="00680B4A" w:rsidRPr="006A6CE3" w:rsidTr="0066199D">
        <w:tc>
          <w:tcPr>
            <w:tcW w:w="2310" w:type="dxa"/>
          </w:tcPr>
          <w:p w:rsidR="00680B4A" w:rsidRPr="006A6CE3" w:rsidRDefault="00680B4A" w:rsidP="0066199D">
            <w:pPr>
              <w:pStyle w:val="NoSpacing"/>
              <w:rPr>
                <w:rFonts w:ascii="Arial" w:hAnsi="Arial" w:cs="Arial"/>
                <w:color w:val="000000"/>
                <w:sz w:val="24"/>
                <w:lang w:bidi="en-US"/>
              </w:rPr>
            </w:pPr>
            <w:r w:rsidRPr="006A6CE3">
              <w:rPr>
                <w:rFonts w:ascii="Arial" w:hAnsi="Arial" w:cs="Arial"/>
                <w:color w:val="000000"/>
                <w:sz w:val="24"/>
                <w:lang w:bidi="en-US"/>
              </w:rPr>
              <w:t>Company’s chosen intensity measurement</w:t>
            </w:r>
            <w:r>
              <w:rPr>
                <w:rFonts w:ascii="Arial" w:hAnsi="Arial" w:cs="Arial"/>
                <w:color w:val="000000"/>
                <w:sz w:val="24"/>
                <w:lang w:bidi="en-US"/>
              </w:rPr>
              <w:t>.</w:t>
            </w:r>
            <w:r w:rsidRPr="006A6CE3">
              <w:rPr>
                <w:rFonts w:ascii="Arial" w:hAnsi="Arial" w:cs="Arial"/>
                <w:color w:val="000000"/>
                <w:sz w:val="24"/>
                <w:lang w:bidi="en-US"/>
              </w:rPr>
              <w:t xml:space="preserve"> </w:t>
            </w:r>
            <w:r>
              <w:rPr>
                <w:rFonts w:ascii="Arial" w:hAnsi="Arial" w:cs="Arial"/>
                <w:color w:val="000000"/>
                <w:sz w:val="24"/>
                <w:lang w:bidi="en-US"/>
              </w:rPr>
              <w:t>S</w:t>
            </w:r>
            <w:r w:rsidRPr="006A6CE3">
              <w:rPr>
                <w:rFonts w:ascii="Arial" w:hAnsi="Arial" w:cs="Arial"/>
                <w:color w:val="000000"/>
                <w:sz w:val="24"/>
                <w:lang w:bidi="en-US"/>
              </w:rPr>
              <w:t xml:space="preserve">cope 1 &amp; </w:t>
            </w:r>
            <w:r>
              <w:rPr>
                <w:rFonts w:ascii="Arial" w:hAnsi="Arial" w:cs="Arial"/>
                <w:color w:val="000000"/>
                <w:sz w:val="24"/>
                <w:lang w:bidi="en-US"/>
              </w:rPr>
              <w:t>S</w:t>
            </w:r>
            <w:r w:rsidRPr="006A6CE3">
              <w:rPr>
                <w:rFonts w:ascii="Arial" w:hAnsi="Arial" w:cs="Arial"/>
                <w:color w:val="000000"/>
                <w:sz w:val="24"/>
                <w:lang w:bidi="en-US"/>
              </w:rPr>
              <w:t>cope 2 emissions in tonnes CO2e per tonne of output</w:t>
            </w:r>
          </w:p>
        </w:tc>
        <w:tc>
          <w:tcPr>
            <w:tcW w:w="1435" w:type="dxa"/>
          </w:tcPr>
          <w:p w:rsidR="00680B4A" w:rsidRPr="002B1436" w:rsidRDefault="00680B4A" w:rsidP="0066199D">
            <w:pPr>
              <w:pStyle w:val="NoSpacing"/>
              <w:autoSpaceDE w:val="0"/>
              <w:autoSpaceDN w:val="0"/>
              <w:adjustRightInd w:val="0"/>
              <w:rPr>
                <w:rFonts w:ascii="Arial" w:hAnsi="Arial" w:cs="Arial"/>
                <w:color w:val="000000"/>
                <w:sz w:val="24"/>
                <w:highlight w:val="yellow"/>
                <w:lang w:bidi="en-US"/>
              </w:rPr>
            </w:pPr>
            <w:r w:rsidRPr="002B1436">
              <w:rPr>
                <w:rFonts w:ascii="Arial" w:hAnsi="Arial" w:cs="Arial"/>
                <w:color w:val="000000"/>
                <w:sz w:val="24"/>
                <w:highlight w:val="yellow"/>
                <w:lang w:bidi="en-US"/>
              </w:rPr>
              <w:t>0.59</w:t>
            </w:r>
          </w:p>
        </w:tc>
        <w:tc>
          <w:tcPr>
            <w:tcW w:w="1895" w:type="dxa"/>
          </w:tcPr>
          <w:p w:rsidR="00680B4A" w:rsidRPr="006A6CE3" w:rsidRDefault="00680B4A" w:rsidP="0066199D">
            <w:pPr>
              <w:pStyle w:val="NoSpacing"/>
              <w:rPr>
                <w:rFonts w:ascii="Arial" w:hAnsi="Arial" w:cs="Arial"/>
                <w:color w:val="000000"/>
                <w:sz w:val="24"/>
                <w:lang w:bidi="en-US"/>
              </w:rPr>
            </w:pPr>
            <w:r w:rsidRPr="006A6CE3">
              <w:rPr>
                <w:rFonts w:ascii="Arial" w:hAnsi="Arial" w:cs="Arial"/>
                <w:color w:val="000000"/>
                <w:sz w:val="24"/>
                <w:lang w:bidi="en-US"/>
              </w:rPr>
              <w:t xml:space="preserve">See </w:t>
            </w:r>
            <w:r>
              <w:rPr>
                <w:rFonts w:ascii="Arial" w:hAnsi="Arial" w:cs="Arial"/>
                <w:color w:val="000000"/>
                <w:sz w:val="24"/>
                <w:lang w:bidi="en-US"/>
              </w:rPr>
              <w:t>S</w:t>
            </w:r>
            <w:r w:rsidRPr="006A6CE3">
              <w:rPr>
                <w:rFonts w:ascii="Arial" w:hAnsi="Arial" w:cs="Arial"/>
                <w:color w:val="000000"/>
                <w:sz w:val="24"/>
                <w:lang w:bidi="en-US"/>
              </w:rPr>
              <w:t xml:space="preserve">cope 1 &amp; </w:t>
            </w:r>
            <w:r>
              <w:rPr>
                <w:rFonts w:ascii="Arial" w:hAnsi="Arial" w:cs="Arial"/>
                <w:color w:val="000000"/>
                <w:sz w:val="24"/>
                <w:lang w:bidi="en-US"/>
              </w:rPr>
              <w:t>S</w:t>
            </w:r>
            <w:r w:rsidRPr="006A6CE3">
              <w:rPr>
                <w:rFonts w:ascii="Arial" w:hAnsi="Arial" w:cs="Arial"/>
                <w:color w:val="000000"/>
                <w:sz w:val="24"/>
                <w:lang w:bidi="en-US"/>
              </w:rPr>
              <w:t>cope 2  exclusions</w:t>
            </w:r>
          </w:p>
        </w:tc>
        <w:tc>
          <w:tcPr>
            <w:tcW w:w="1387" w:type="dxa"/>
          </w:tcPr>
          <w:p w:rsidR="00680B4A" w:rsidRPr="006A6CE3" w:rsidRDefault="00680B4A" w:rsidP="0066199D">
            <w:pPr>
              <w:pStyle w:val="NoSpacing"/>
              <w:rPr>
                <w:rFonts w:ascii="Arial" w:hAnsi="Arial" w:cs="Arial"/>
                <w:color w:val="000000"/>
                <w:sz w:val="24"/>
                <w:lang w:bidi="en-US"/>
              </w:rPr>
            </w:pPr>
            <w:r w:rsidRPr="006A6CE3">
              <w:rPr>
                <w:rFonts w:ascii="Arial" w:hAnsi="Arial" w:cs="Arial"/>
                <w:color w:val="000000"/>
                <w:sz w:val="24"/>
                <w:lang w:bidi="en-US"/>
              </w:rPr>
              <w:t>0.54</w:t>
            </w:r>
          </w:p>
        </w:tc>
        <w:tc>
          <w:tcPr>
            <w:tcW w:w="1387" w:type="dxa"/>
          </w:tcPr>
          <w:p w:rsidR="00680B4A" w:rsidRPr="006A6CE3" w:rsidRDefault="00680B4A" w:rsidP="0066199D">
            <w:pPr>
              <w:pStyle w:val="NoSpacing"/>
              <w:rPr>
                <w:rFonts w:ascii="Arial" w:hAnsi="Arial" w:cs="Arial"/>
                <w:color w:val="000000"/>
                <w:sz w:val="24"/>
                <w:lang w:bidi="en-US"/>
              </w:rPr>
            </w:pPr>
            <w:r w:rsidRPr="006A6CE3">
              <w:rPr>
                <w:rFonts w:ascii="Arial" w:hAnsi="Arial" w:cs="Arial"/>
                <w:color w:val="000000"/>
                <w:sz w:val="24"/>
                <w:lang w:bidi="en-US"/>
              </w:rPr>
              <w:t>0.52</w:t>
            </w:r>
          </w:p>
        </w:tc>
      </w:tr>
    </w:tbl>
    <w:p w:rsidR="00FC7F04" w:rsidRDefault="00FC7F04" w:rsidP="002B1436">
      <w:pPr>
        <w:pStyle w:val="Caption"/>
      </w:pPr>
      <w:bookmarkStart w:id="333" w:name="_Ref380508985"/>
      <w:bookmarkStart w:id="334" w:name="_Ref380509038"/>
      <w:r w:rsidRPr="002B1436">
        <w:rPr>
          <w:highlight w:val="yellow"/>
        </w:rPr>
        <w:t xml:space="preserve">Table </w:t>
      </w:r>
      <w:r w:rsidRPr="002B1436">
        <w:rPr>
          <w:highlight w:val="yellow"/>
        </w:rPr>
        <w:fldChar w:fldCharType="begin"/>
      </w:r>
      <w:r w:rsidRPr="002B1436">
        <w:rPr>
          <w:highlight w:val="yellow"/>
        </w:rPr>
        <w:instrText xml:space="preserve"> SEQ Table \* ARABIC </w:instrText>
      </w:r>
      <w:r w:rsidRPr="002B1436">
        <w:rPr>
          <w:highlight w:val="yellow"/>
        </w:rPr>
        <w:fldChar w:fldCharType="separate"/>
      </w:r>
      <w:r w:rsidR="005D6D80" w:rsidRPr="002B1436">
        <w:rPr>
          <w:noProof/>
          <w:highlight w:val="yellow"/>
        </w:rPr>
        <w:t>4</w:t>
      </w:r>
      <w:r w:rsidRPr="002B1436">
        <w:rPr>
          <w:highlight w:val="yellow"/>
        </w:rPr>
        <w:fldChar w:fldCharType="end"/>
      </w:r>
      <w:bookmarkEnd w:id="333"/>
      <w:r w:rsidRPr="002B1436">
        <w:rPr>
          <w:highlight w:val="yellow"/>
        </w:rPr>
        <w:t xml:space="preserve"> - Summary Table</w:t>
      </w:r>
      <w:bookmarkEnd w:id="334"/>
    </w:p>
    <w:tbl>
      <w:tblPr>
        <w:tblW w:w="46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9"/>
        <w:gridCol w:w="2696"/>
        <w:gridCol w:w="1702"/>
        <w:gridCol w:w="1712"/>
        <w:gridCol w:w="1644"/>
      </w:tblGrid>
      <w:tr w:rsidR="005D6D80" w:rsidRPr="00BE0C01" w:rsidTr="002B1436">
        <w:tc>
          <w:tcPr>
            <w:tcW w:w="2231" w:type="pct"/>
            <w:gridSpan w:val="2"/>
          </w:tcPr>
          <w:p w:rsidR="00680B4A" w:rsidRPr="002B1436" w:rsidRDefault="00680B4A" w:rsidP="0066199D">
            <w:pPr>
              <w:pStyle w:val="NoSpacing"/>
              <w:rPr>
                <w:rFonts w:ascii="Arial" w:hAnsi="Arial" w:cs="Arial"/>
                <w:sz w:val="24"/>
                <w:highlight w:val="yellow"/>
                <w:lang w:bidi="en-US"/>
              </w:rPr>
            </w:pPr>
          </w:p>
        </w:tc>
        <w:tc>
          <w:tcPr>
            <w:tcW w:w="932" w:type="pct"/>
          </w:tcPr>
          <w:p w:rsidR="00680B4A" w:rsidRPr="002B1436" w:rsidRDefault="00680B4A" w:rsidP="0066199D">
            <w:pPr>
              <w:pStyle w:val="NoSpacing"/>
              <w:rPr>
                <w:rFonts w:ascii="Arial" w:hAnsi="Arial" w:cs="Arial"/>
                <w:b/>
                <w:sz w:val="24"/>
                <w:highlight w:val="yellow"/>
                <w:lang w:bidi="en-US"/>
              </w:rPr>
            </w:pPr>
            <w:r w:rsidRPr="002B1436">
              <w:rPr>
                <w:rFonts w:ascii="Arial" w:hAnsi="Arial" w:cs="Arial"/>
                <w:b/>
                <w:sz w:val="24"/>
                <w:highlight w:val="yellow"/>
                <w:lang w:bidi="en-US"/>
              </w:rPr>
              <w:t>2013-2014</w:t>
            </w:r>
          </w:p>
        </w:tc>
        <w:tc>
          <w:tcPr>
            <w:tcW w:w="937" w:type="pct"/>
          </w:tcPr>
          <w:p w:rsidR="00680B4A" w:rsidRPr="002B1436" w:rsidRDefault="00680B4A" w:rsidP="0066199D">
            <w:pPr>
              <w:pStyle w:val="NoSpacing"/>
              <w:rPr>
                <w:rFonts w:ascii="Arial" w:hAnsi="Arial" w:cs="Arial"/>
                <w:b/>
                <w:sz w:val="24"/>
                <w:highlight w:val="yellow"/>
                <w:lang w:bidi="en-US"/>
              </w:rPr>
            </w:pPr>
            <w:r w:rsidRPr="002B1436">
              <w:rPr>
                <w:rFonts w:ascii="Arial" w:hAnsi="Arial" w:cs="Arial"/>
                <w:b/>
                <w:sz w:val="24"/>
                <w:highlight w:val="yellow"/>
                <w:lang w:bidi="en-US"/>
              </w:rPr>
              <w:t>2012-2013</w:t>
            </w:r>
          </w:p>
        </w:tc>
        <w:tc>
          <w:tcPr>
            <w:tcW w:w="900" w:type="pct"/>
          </w:tcPr>
          <w:p w:rsidR="00680B4A" w:rsidRPr="002B1436" w:rsidRDefault="00680B4A" w:rsidP="0066199D">
            <w:pPr>
              <w:pStyle w:val="NoSpacing"/>
              <w:rPr>
                <w:rFonts w:ascii="Arial" w:hAnsi="Arial" w:cs="Arial"/>
                <w:b/>
                <w:sz w:val="24"/>
                <w:highlight w:val="yellow"/>
                <w:lang w:bidi="en-US"/>
              </w:rPr>
            </w:pPr>
            <w:r w:rsidRPr="002B1436">
              <w:rPr>
                <w:rFonts w:ascii="Arial" w:hAnsi="Arial" w:cs="Arial"/>
                <w:b/>
                <w:sz w:val="24"/>
                <w:highlight w:val="yellow"/>
                <w:lang w:bidi="en-US"/>
              </w:rPr>
              <w:t>2006-2007</w:t>
            </w:r>
          </w:p>
        </w:tc>
      </w:tr>
      <w:tr w:rsidR="005D6D80" w:rsidRPr="00BE0C01" w:rsidTr="002B1436">
        <w:tc>
          <w:tcPr>
            <w:tcW w:w="2231" w:type="pct"/>
            <w:gridSpan w:val="2"/>
          </w:tcPr>
          <w:p w:rsidR="00680B4A" w:rsidRPr="002B1436" w:rsidRDefault="00680B4A" w:rsidP="0066199D">
            <w:pPr>
              <w:pStyle w:val="NoSpacing"/>
              <w:rPr>
                <w:rFonts w:ascii="Arial" w:hAnsi="Arial" w:cs="Arial"/>
                <w:sz w:val="24"/>
                <w:highlight w:val="yellow"/>
                <w:lang w:bidi="en-US"/>
              </w:rPr>
            </w:pPr>
            <w:r w:rsidRPr="002B1436">
              <w:rPr>
                <w:rFonts w:ascii="Arial" w:hAnsi="Arial" w:cs="Arial"/>
                <w:b/>
                <w:sz w:val="24"/>
                <w:highlight w:val="yellow"/>
                <w:lang w:bidi="en-US"/>
              </w:rPr>
              <w:t>Tonnes CO2e</w:t>
            </w:r>
          </w:p>
        </w:tc>
        <w:tc>
          <w:tcPr>
            <w:tcW w:w="932" w:type="pct"/>
          </w:tcPr>
          <w:p w:rsidR="00680B4A" w:rsidRPr="002B1436" w:rsidRDefault="00680B4A" w:rsidP="00EB34D3">
            <w:pPr>
              <w:pStyle w:val="NoSpacing"/>
              <w:autoSpaceDE w:val="0"/>
              <w:autoSpaceDN w:val="0"/>
              <w:adjustRightInd w:val="0"/>
              <w:rPr>
                <w:rFonts w:ascii="Arial" w:hAnsi="Arial" w:cs="Arial"/>
                <w:sz w:val="24"/>
                <w:highlight w:val="yellow"/>
                <w:lang w:bidi="en-US"/>
              </w:rPr>
            </w:pPr>
            <w:r w:rsidRPr="002B1436">
              <w:rPr>
                <w:rFonts w:ascii="Arial" w:hAnsi="Arial" w:cs="Arial"/>
                <w:sz w:val="24"/>
                <w:highlight w:val="yellow"/>
                <w:lang w:bidi="en-US"/>
              </w:rPr>
              <w:t>S1+ S2 + S3</w:t>
            </w:r>
          </w:p>
        </w:tc>
        <w:tc>
          <w:tcPr>
            <w:tcW w:w="937" w:type="pct"/>
          </w:tcPr>
          <w:p w:rsidR="00680B4A" w:rsidRPr="002B1436" w:rsidRDefault="00680B4A" w:rsidP="00EB34D3">
            <w:pPr>
              <w:pStyle w:val="NoSpacing"/>
              <w:autoSpaceDE w:val="0"/>
              <w:autoSpaceDN w:val="0"/>
              <w:adjustRightInd w:val="0"/>
              <w:rPr>
                <w:rFonts w:ascii="Arial" w:hAnsi="Arial" w:cs="Arial"/>
                <w:sz w:val="24"/>
                <w:highlight w:val="yellow"/>
                <w:lang w:bidi="en-US"/>
              </w:rPr>
            </w:pPr>
            <w:r w:rsidRPr="002B1436">
              <w:rPr>
                <w:rFonts w:ascii="Arial" w:hAnsi="Arial" w:cs="Arial"/>
                <w:sz w:val="24"/>
                <w:highlight w:val="yellow"/>
                <w:lang w:bidi="en-US"/>
              </w:rPr>
              <w:t>S1+ S2 + S3</w:t>
            </w:r>
          </w:p>
        </w:tc>
        <w:tc>
          <w:tcPr>
            <w:tcW w:w="900" w:type="pct"/>
          </w:tcPr>
          <w:p w:rsidR="00680B4A" w:rsidRPr="002B1436" w:rsidRDefault="00680B4A" w:rsidP="00EB34D3">
            <w:pPr>
              <w:pStyle w:val="NoSpacing"/>
              <w:autoSpaceDE w:val="0"/>
              <w:autoSpaceDN w:val="0"/>
              <w:adjustRightInd w:val="0"/>
              <w:rPr>
                <w:rFonts w:ascii="Arial" w:hAnsi="Arial" w:cs="Arial"/>
                <w:sz w:val="24"/>
                <w:highlight w:val="yellow"/>
                <w:lang w:bidi="en-US"/>
              </w:rPr>
            </w:pPr>
            <w:r w:rsidRPr="002B1436">
              <w:rPr>
                <w:rFonts w:ascii="Arial" w:hAnsi="Arial" w:cs="Arial"/>
                <w:sz w:val="24"/>
                <w:highlight w:val="yellow"/>
                <w:lang w:bidi="en-US"/>
              </w:rPr>
              <w:t>S1+ S2+ S3</w:t>
            </w:r>
          </w:p>
        </w:tc>
      </w:tr>
      <w:tr w:rsidR="005D6D80" w:rsidRPr="00BE0C01" w:rsidTr="002B1436">
        <w:trPr>
          <w:trHeight w:val="500"/>
        </w:trPr>
        <w:tc>
          <w:tcPr>
            <w:tcW w:w="2231" w:type="pct"/>
            <w:gridSpan w:val="2"/>
            <w:shd w:val="clear" w:color="auto" w:fill="D9D9D9" w:themeFill="background1" w:themeFillShade="D9"/>
            <w:vAlign w:val="center"/>
          </w:tcPr>
          <w:p w:rsidR="00680B4A" w:rsidRPr="002B1436" w:rsidRDefault="00680B4A" w:rsidP="0066199D">
            <w:pPr>
              <w:pStyle w:val="NoSpacing"/>
              <w:rPr>
                <w:rFonts w:ascii="Arial" w:hAnsi="Arial" w:cs="Arial"/>
                <w:b/>
                <w:sz w:val="24"/>
                <w:highlight w:val="yellow"/>
                <w:lang w:bidi="en-US"/>
              </w:rPr>
            </w:pPr>
            <w:r w:rsidRPr="002B1436">
              <w:rPr>
                <w:rFonts w:ascii="Arial" w:hAnsi="Arial" w:cs="Arial"/>
                <w:b/>
                <w:sz w:val="24"/>
                <w:highlight w:val="yellow"/>
                <w:lang w:bidi="en-US"/>
              </w:rPr>
              <w:t>Gross emissions</w:t>
            </w:r>
          </w:p>
        </w:tc>
        <w:tc>
          <w:tcPr>
            <w:tcW w:w="932" w:type="pct"/>
            <w:shd w:val="clear" w:color="auto" w:fill="D9D9D9" w:themeFill="background1" w:themeFillShade="D9"/>
            <w:vAlign w:val="center"/>
          </w:tcPr>
          <w:p w:rsidR="00680B4A" w:rsidRPr="002B1436" w:rsidRDefault="00680B4A" w:rsidP="0066199D">
            <w:pPr>
              <w:pStyle w:val="NoSpacing"/>
              <w:autoSpaceDE w:val="0"/>
              <w:autoSpaceDN w:val="0"/>
              <w:adjustRightInd w:val="0"/>
              <w:rPr>
                <w:rFonts w:ascii="Arial" w:hAnsi="Arial" w:cs="Arial"/>
                <w:b/>
                <w:color w:val="FF0000"/>
                <w:sz w:val="24"/>
                <w:highlight w:val="yellow"/>
                <w:lang w:bidi="en-US"/>
              </w:rPr>
            </w:pPr>
            <w:r w:rsidRPr="002B1436">
              <w:rPr>
                <w:rFonts w:ascii="Arial" w:hAnsi="Arial" w:cs="Arial"/>
                <w:b/>
                <w:color w:val="FF0000"/>
                <w:sz w:val="24"/>
                <w:highlight w:val="yellow"/>
                <w:lang w:bidi="en-US"/>
              </w:rPr>
              <w:t>95,350</w:t>
            </w:r>
            <w:r w:rsidR="00DB10F0" w:rsidRPr="002B1436">
              <w:rPr>
                <w:rStyle w:val="FootnoteReference"/>
                <w:rFonts w:ascii="Arial" w:hAnsi="Arial" w:cs="Arial"/>
                <w:sz w:val="24"/>
                <w:highlight w:val="yellow"/>
                <w:lang w:bidi="en-US"/>
              </w:rPr>
              <w:footnoteReference w:id="92"/>
            </w:r>
          </w:p>
        </w:tc>
        <w:tc>
          <w:tcPr>
            <w:tcW w:w="937" w:type="pct"/>
            <w:shd w:val="clear" w:color="auto" w:fill="D9D9D9" w:themeFill="background1" w:themeFillShade="D9"/>
            <w:vAlign w:val="center"/>
          </w:tcPr>
          <w:p w:rsidR="00680B4A" w:rsidRPr="002B1436" w:rsidRDefault="00680B4A" w:rsidP="0066199D">
            <w:pPr>
              <w:pStyle w:val="NoSpacing"/>
              <w:autoSpaceDE w:val="0"/>
              <w:autoSpaceDN w:val="0"/>
              <w:adjustRightInd w:val="0"/>
              <w:rPr>
                <w:rFonts w:ascii="Arial" w:hAnsi="Arial" w:cs="Arial"/>
                <w:sz w:val="24"/>
                <w:highlight w:val="yellow"/>
                <w:lang w:bidi="en-US"/>
              </w:rPr>
            </w:pPr>
            <w:r w:rsidRPr="002B1436">
              <w:rPr>
                <w:rFonts w:ascii="Arial" w:hAnsi="Arial" w:cs="Arial"/>
                <w:sz w:val="24"/>
                <w:highlight w:val="yellow"/>
                <w:lang w:bidi="en-US"/>
              </w:rPr>
              <w:t>91,390</w:t>
            </w:r>
          </w:p>
        </w:tc>
        <w:tc>
          <w:tcPr>
            <w:tcW w:w="900" w:type="pct"/>
            <w:shd w:val="clear" w:color="auto" w:fill="D9D9D9" w:themeFill="background1" w:themeFillShade="D9"/>
            <w:vAlign w:val="center"/>
          </w:tcPr>
          <w:p w:rsidR="00680B4A" w:rsidRPr="002B1436" w:rsidRDefault="00680B4A" w:rsidP="0066199D">
            <w:pPr>
              <w:pStyle w:val="NoSpacing"/>
              <w:autoSpaceDE w:val="0"/>
              <w:autoSpaceDN w:val="0"/>
              <w:adjustRightInd w:val="0"/>
              <w:rPr>
                <w:rFonts w:ascii="Arial" w:hAnsi="Arial" w:cs="Arial"/>
                <w:sz w:val="24"/>
                <w:highlight w:val="yellow"/>
                <w:lang w:bidi="en-US"/>
              </w:rPr>
            </w:pPr>
            <w:r w:rsidRPr="002B1436">
              <w:rPr>
                <w:rFonts w:ascii="Arial" w:hAnsi="Arial" w:cs="Arial"/>
                <w:sz w:val="24"/>
                <w:highlight w:val="yellow"/>
                <w:lang w:bidi="en-US"/>
              </w:rPr>
              <w:t>31,120</w:t>
            </w:r>
          </w:p>
        </w:tc>
      </w:tr>
      <w:tr w:rsidR="005D6D80" w:rsidRPr="00BE0C01" w:rsidTr="002B1436">
        <w:tc>
          <w:tcPr>
            <w:tcW w:w="755" w:type="pct"/>
            <w:vMerge w:val="restart"/>
          </w:tcPr>
          <w:p w:rsidR="00680B4A" w:rsidRPr="002B1436" w:rsidRDefault="00680B4A" w:rsidP="0066199D">
            <w:pPr>
              <w:pStyle w:val="NoSpacing"/>
              <w:rPr>
                <w:rFonts w:ascii="Arial" w:hAnsi="Arial" w:cs="Arial"/>
                <w:sz w:val="24"/>
                <w:highlight w:val="yellow"/>
                <w:lang w:bidi="en-US"/>
              </w:rPr>
            </w:pPr>
            <w:r w:rsidRPr="002B1436">
              <w:rPr>
                <w:rFonts w:ascii="Arial" w:hAnsi="Arial" w:cs="Arial"/>
                <w:sz w:val="24"/>
                <w:highlight w:val="yellow"/>
                <w:lang w:bidi="en-US"/>
              </w:rPr>
              <w:t xml:space="preserve">Avoided emissions </w:t>
            </w:r>
          </w:p>
        </w:tc>
        <w:tc>
          <w:tcPr>
            <w:tcW w:w="1476" w:type="pct"/>
          </w:tcPr>
          <w:p w:rsidR="00680B4A" w:rsidRPr="002B1436" w:rsidRDefault="00680B4A" w:rsidP="001B3AC7">
            <w:pPr>
              <w:pStyle w:val="NoSpacing"/>
              <w:autoSpaceDE w:val="0"/>
              <w:autoSpaceDN w:val="0"/>
              <w:adjustRightInd w:val="0"/>
              <w:rPr>
                <w:rFonts w:ascii="Arial" w:hAnsi="Arial" w:cs="Arial"/>
                <w:sz w:val="24"/>
                <w:highlight w:val="yellow"/>
                <w:lang w:bidi="en-US"/>
              </w:rPr>
            </w:pPr>
            <w:r w:rsidRPr="002B1436">
              <w:rPr>
                <w:rFonts w:ascii="Arial" w:hAnsi="Arial" w:cs="Arial"/>
                <w:sz w:val="24"/>
                <w:highlight w:val="yellow"/>
                <w:lang w:bidi="en-US"/>
              </w:rPr>
              <w:t xml:space="preserve">Renewable electricity – </w:t>
            </w:r>
            <w:r w:rsidR="001B3AC7" w:rsidRPr="002B1436">
              <w:rPr>
                <w:rFonts w:ascii="Arial" w:hAnsi="Arial" w:cs="Arial"/>
                <w:sz w:val="24"/>
                <w:highlight w:val="yellow"/>
                <w:lang w:bidi="en-US"/>
              </w:rPr>
              <w:t>export</w:t>
            </w:r>
            <w:r w:rsidRPr="002B1436">
              <w:rPr>
                <w:rFonts w:ascii="Arial" w:hAnsi="Arial" w:cs="Arial"/>
                <w:sz w:val="24"/>
                <w:highlight w:val="yellow"/>
                <w:lang w:bidi="en-US"/>
              </w:rPr>
              <w:t>ed</w:t>
            </w:r>
          </w:p>
        </w:tc>
        <w:tc>
          <w:tcPr>
            <w:tcW w:w="932" w:type="pct"/>
            <w:vAlign w:val="center"/>
          </w:tcPr>
          <w:p w:rsidR="00680B4A" w:rsidRPr="002B1436" w:rsidRDefault="00680B4A" w:rsidP="002B1436">
            <w:pPr>
              <w:pStyle w:val="NoSpacing"/>
              <w:rPr>
                <w:rFonts w:ascii="Arial" w:hAnsi="Arial" w:cs="Arial"/>
                <w:sz w:val="24"/>
                <w:highlight w:val="yellow"/>
                <w:lang w:bidi="en-US"/>
              </w:rPr>
            </w:pPr>
            <w:r w:rsidRPr="002B1436">
              <w:rPr>
                <w:rFonts w:ascii="Arial" w:hAnsi="Arial" w:cs="Arial"/>
                <w:sz w:val="24"/>
                <w:highlight w:val="yellow"/>
                <w:lang w:bidi="en-US"/>
              </w:rPr>
              <w:t>(18)</w:t>
            </w:r>
          </w:p>
        </w:tc>
        <w:tc>
          <w:tcPr>
            <w:tcW w:w="937" w:type="pct"/>
            <w:vAlign w:val="center"/>
          </w:tcPr>
          <w:p w:rsidR="00680B4A" w:rsidRPr="002B1436" w:rsidRDefault="00680B4A" w:rsidP="002B1436">
            <w:pPr>
              <w:pStyle w:val="NoSpacing"/>
              <w:rPr>
                <w:rFonts w:ascii="Arial" w:hAnsi="Arial" w:cs="Arial"/>
                <w:sz w:val="24"/>
                <w:highlight w:val="yellow"/>
                <w:lang w:bidi="en-US"/>
              </w:rPr>
            </w:pPr>
            <w:r w:rsidRPr="002B1436">
              <w:rPr>
                <w:rFonts w:ascii="Arial" w:hAnsi="Arial" w:cs="Arial"/>
                <w:sz w:val="24"/>
                <w:highlight w:val="yellow"/>
                <w:lang w:bidi="en-US"/>
              </w:rPr>
              <w:t>(15)</w:t>
            </w:r>
          </w:p>
        </w:tc>
        <w:tc>
          <w:tcPr>
            <w:tcW w:w="900" w:type="pct"/>
            <w:vAlign w:val="center"/>
          </w:tcPr>
          <w:p w:rsidR="00680B4A" w:rsidRPr="002B1436" w:rsidRDefault="00680B4A" w:rsidP="002B1436">
            <w:pPr>
              <w:pStyle w:val="NoSpacing"/>
              <w:rPr>
                <w:rFonts w:ascii="Arial" w:hAnsi="Arial" w:cs="Arial"/>
                <w:sz w:val="24"/>
                <w:highlight w:val="yellow"/>
                <w:lang w:bidi="en-US"/>
              </w:rPr>
            </w:pPr>
            <w:r w:rsidRPr="002B1436">
              <w:rPr>
                <w:rFonts w:ascii="Arial" w:hAnsi="Arial" w:cs="Arial"/>
                <w:sz w:val="24"/>
                <w:highlight w:val="yellow"/>
                <w:lang w:bidi="en-US"/>
              </w:rPr>
              <w:t>0</w:t>
            </w:r>
          </w:p>
        </w:tc>
      </w:tr>
      <w:tr w:rsidR="005D6D80" w:rsidRPr="00BE0C01" w:rsidTr="002B1436">
        <w:tc>
          <w:tcPr>
            <w:tcW w:w="755" w:type="pct"/>
            <w:vMerge/>
          </w:tcPr>
          <w:p w:rsidR="00680B4A" w:rsidRPr="002B1436" w:rsidRDefault="00680B4A" w:rsidP="0066199D">
            <w:pPr>
              <w:pStyle w:val="NoSpacing"/>
              <w:rPr>
                <w:rFonts w:ascii="Arial" w:hAnsi="Arial" w:cs="Arial"/>
                <w:sz w:val="24"/>
                <w:highlight w:val="yellow"/>
                <w:lang w:bidi="en-US"/>
              </w:rPr>
            </w:pPr>
          </w:p>
        </w:tc>
        <w:tc>
          <w:tcPr>
            <w:tcW w:w="1476" w:type="pct"/>
          </w:tcPr>
          <w:p w:rsidR="00680B4A" w:rsidRPr="002B1436" w:rsidRDefault="00680B4A" w:rsidP="0066199D">
            <w:pPr>
              <w:pStyle w:val="NoSpacing"/>
              <w:autoSpaceDE w:val="0"/>
              <w:autoSpaceDN w:val="0"/>
              <w:adjustRightInd w:val="0"/>
              <w:rPr>
                <w:rFonts w:ascii="Arial" w:hAnsi="Arial" w:cs="Arial"/>
                <w:sz w:val="24"/>
                <w:highlight w:val="yellow"/>
                <w:lang w:bidi="en-US"/>
              </w:rPr>
            </w:pPr>
            <w:r w:rsidRPr="002B1436">
              <w:rPr>
                <w:rFonts w:ascii="Arial" w:hAnsi="Arial" w:cs="Arial"/>
                <w:sz w:val="24"/>
                <w:highlight w:val="yellow"/>
                <w:lang w:bidi="en-US"/>
              </w:rPr>
              <w:t>Offsets – purchased &amp; retired</w:t>
            </w:r>
          </w:p>
        </w:tc>
        <w:tc>
          <w:tcPr>
            <w:tcW w:w="932" w:type="pct"/>
            <w:vAlign w:val="center"/>
          </w:tcPr>
          <w:p w:rsidR="00680B4A" w:rsidRPr="002B1436" w:rsidRDefault="00680B4A" w:rsidP="002B1436">
            <w:pPr>
              <w:pStyle w:val="NoSpacing"/>
              <w:rPr>
                <w:rFonts w:ascii="Arial" w:hAnsi="Arial" w:cs="Arial"/>
                <w:sz w:val="24"/>
                <w:highlight w:val="yellow"/>
                <w:lang w:bidi="en-US"/>
              </w:rPr>
            </w:pPr>
            <w:r w:rsidRPr="002B1436">
              <w:rPr>
                <w:rFonts w:ascii="Arial" w:hAnsi="Arial" w:cs="Arial"/>
                <w:sz w:val="24"/>
                <w:highlight w:val="yellow"/>
                <w:lang w:bidi="en-US"/>
              </w:rPr>
              <w:t>(5,000)</w:t>
            </w:r>
          </w:p>
        </w:tc>
        <w:tc>
          <w:tcPr>
            <w:tcW w:w="937" w:type="pct"/>
            <w:vAlign w:val="center"/>
          </w:tcPr>
          <w:p w:rsidR="00680B4A" w:rsidRPr="002B1436" w:rsidRDefault="00680B4A" w:rsidP="002B1436">
            <w:pPr>
              <w:pStyle w:val="NoSpacing"/>
              <w:rPr>
                <w:rFonts w:ascii="Arial" w:hAnsi="Arial" w:cs="Arial"/>
                <w:sz w:val="24"/>
                <w:highlight w:val="yellow"/>
                <w:lang w:bidi="en-US"/>
              </w:rPr>
            </w:pPr>
            <w:r w:rsidRPr="002B1436">
              <w:rPr>
                <w:rFonts w:ascii="Arial" w:hAnsi="Arial" w:cs="Arial"/>
                <w:sz w:val="24"/>
                <w:highlight w:val="yellow"/>
                <w:lang w:bidi="en-US"/>
              </w:rPr>
              <w:t>0</w:t>
            </w:r>
          </w:p>
        </w:tc>
        <w:tc>
          <w:tcPr>
            <w:tcW w:w="900" w:type="pct"/>
            <w:vAlign w:val="center"/>
          </w:tcPr>
          <w:p w:rsidR="00680B4A" w:rsidRPr="002B1436" w:rsidRDefault="00680B4A" w:rsidP="002B1436">
            <w:pPr>
              <w:pStyle w:val="NoSpacing"/>
              <w:rPr>
                <w:rFonts w:ascii="Arial" w:hAnsi="Arial" w:cs="Arial"/>
                <w:sz w:val="24"/>
                <w:highlight w:val="yellow"/>
                <w:lang w:bidi="en-US"/>
              </w:rPr>
            </w:pPr>
            <w:r w:rsidRPr="002B1436">
              <w:rPr>
                <w:rFonts w:ascii="Arial" w:hAnsi="Arial" w:cs="Arial"/>
                <w:sz w:val="24"/>
                <w:highlight w:val="yellow"/>
                <w:lang w:bidi="en-US"/>
              </w:rPr>
              <w:t>0</w:t>
            </w:r>
          </w:p>
        </w:tc>
      </w:tr>
      <w:tr w:rsidR="005D6D80" w:rsidRPr="00BE0C01" w:rsidTr="002B1436">
        <w:tc>
          <w:tcPr>
            <w:tcW w:w="755" w:type="pct"/>
            <w:vMerge/>
          </w:tcPr>
          <w:p w:rsidR="00680B4A" w:rsidRPr="002B1436" w:rsidRDefault="00680B4A" w:rsidP="0066199D">
            <w:pPr>
              <w:pStyle w:val="NoSpacing"/>
              <w:rPr>
                <w:rFonts w:ascii="Arial" w:hAnsi="Arial" w:cs="Arial"/>
                <w:sz w:val="24"/>
                <w:highlight w:val="yellow"/>
                <w:lang w:bidi="en-US"/>
              </w:rPr>
            </w:pPr>
          </w:p>
        </w:tc>
        <w:tc>
          <w:tcPr>
            <w:tcW w:w="1476" w:type="pct"/>
          </w:tcPr>
          <w:p w:rsidR="00680B4A" w:rsidRPr="002B1436" w:rsidRDefault="00680B4A" w:rsidP="0066199D">
            <w:pPr>
              <w:pStyle w:val="NoSpacing"/>
              <w:autoSpaceDE w:val="0"/>
              <w:autoSpaceDN w:val="0"/>
              <w:adjustRightInd w:val="0"/>
              <w:rPr>
                <w:rFonts w:ascii="Arial" w:hAnsi="Arial" w:cs="Arial"/>
                <w:sz w:val="24"/>
                <w:highlight w:val="yellow"/>
                <w:lang w:bidi="en-US"/>
              </w:rPr>
            </w:pPr>
            <w:r w:rsidRPr="002B1436">
              <w:rPr>
                <w:rFonts w:ascii="Arial" w:hAnsi="Arial" w:cs="Arial"/>
                <w:sz w:val="24"/>
                <w:highlight w:val="yellow"/>
                <w:lang w:bidi="en-US"/>
              </w:rPr>
              <w:t>Woodland Carbon Units – purchased &amp; retired</w:t>
            </w:r>
          </w:p>
        </w:tc>
        <w:tc>
          <w:tcPr>
            <w:tcW w:w="932" w:type="pct"/>
            <w:vAlign w:val="center"/>
          </w:tcPr>
          <w:p w:rsidR="00680B4A" w:rsidRPr="002B1436" w:rsidRDefault="00680B4A" w:rsidP="002B1436">
            <w:pPr>
              <w:pStyle w:val="NoSpacing"/>
              <w:rPr>
                <w:rFonts w:ascii="Arial" w:hAnsi="Arial" w:cs="Arial"/>
                <w:sz w:val="24"/>
                <w:highlight w:val="yellow"/>
                <w:lang w:bidi="en-US"/>
              </w:rPr>
            </w:pPr>
            <w:r w:rsidRPr="002B1436">
              <w:rPr>
                <w:rFonts w:ascii="Arial" w:hAnsi="Arial" w:cs="Arial"/>
                <w:sz w:val="24"/>
                <w:highlight w:val="yellow"/>
                <w:lang w:bidi="en-US"/>
              </w:rPr>
              <w:t>(100)</w:t>
            </w:r>
          </w:p>
        </w:tc>
        <w:tc>
          <w:tcPr>
            <w:tcW w:w="937" w:type="pct"/>
            <w:vAlign w:val="center"/>
          </w:tcPr>
          <w:p w:rsidR="00680B4A" w:rsidRPr="002B1436" w:rsidRDefault="00680B4A" w:rsidP="002B1436">
            <w:pPr>
              <w:pStyle w:val="NoSpacing"/>
              <w:rPr>
                <w:rFonts w:ascii="Arial" w:hAnsi="Arial" w:cs="Arial"/>
                <w:sz w:val="24"/>
                <w:highlight w:val="yellow"/>
                <w:lang w:bidi="en-US"/>
              </w:rPr>
            </w:pPr>
            <w:r w:rsidRPr="002B1436">
              <w:rPr>
                <w:rFonts w:ascii="Arial" w:hAnsi="Arial" w:cs="Arial"/>
                <w:sz w:val="24"/>
                <w:highlight w:val="yellow"/>
                <w:lang w:bidi="en-US"/>
              </w:rPr>
              <w:t>0</w:t>
            </w:r>
          </w:p>
        </w:tc>
        <w:tc>
          <w:tcPr>
            <w:tcW w:w="900" w:type="pct"/>
            <w:vAlign w:val="center"/>
          </w:tcPr>
          <w:p w:rsidR="00680B4A" w:rsidRPr="002B1436" w:rsidRDefault="00680B4A" w:rsidP="002B1436">
            <w:pPr>
              <w:pStyle w:val="NoSpacing"/>
              <w:rPr>
                <w:rFonts w:ascii="Arial" w:hAnsi="Arial" w:cs="Arial"/>
                <w:sz w:val="24"/>
                <w:highlight w:val="yellow"/>
                <w:lang w:bidi="en-US"/>
              </w:rPr>
            </w:pPr>
            <w:r w:rsidRPr="002B1436">
              <w:rPr>
                <w:rFonts w:ascii="Arial" w:hAnsi="Arial" w:cs="Arial"/>
                <w:sz w:val="24"/>
                <w:highlight w:val="yellow"/>
                <w:lang w:bidi="en-US"/>
              </w:rPr>
              <w:t>0</w:t>
            </w:r>
          </w:p>
        </w:tc>
      </w:tr>
      <w:tr w:rsidR="00DF15C8" w:rsidRPr="00BE0C01" w:rsidTr="002B1436">
        <w:trPr>
          <w:trHeight w:val="577"/>
        </w:trPr>
        <w:tc>
          <w:tcPr>
            <w:tcW w:w="755" w:type="pct"/>
            <w:vMerge/>
          </w:tcPr>
          <w:p w:rsidR="00680B4A" w:rsidRPr="002B1436" w:rsidRDefault="00680B4A" w:rsidP="0066199D">
            <w:pPr>
              <w:pStyle w:val="NoSpacing"/>
              <w:rPr>
                <w:rFonts w:ascii="Arial" w:hAnsi="Arial" w:cs="Arial"/>
                <w:sz w:val="24"/>
                <w:highlight w:val="yellow"/>
                <w:lang w:bidi="en-US"/>
              </w:rPr>
            </w:pPr>
          </w:p>
        </w:tc>
        <w:tc>
          <w:tcPr>
            <w:tcW w:w="1476" w:type="pct"/>
          </w:tcPr>
          <w:p w:rsidR="00680B4A" w:rsidRPr="002B1436" w:rsidRDefault="00680B4A" w:rsidP="00EB34D3">
            <w:pPr>
              <w:pStyle w:val="NoSpacing"/>
              <w:autoSpaceDE w:val="0"/>
              <w:autoSpaceDN w:val="0"/>
              <w:adjustRightInd w:val="0"/>
              <w:rPr>
                <w:rFonts w:ascii="Arial" w:hAnsi="Arial" w:cs="Arial"/>
                <w:sz w:val="24"/>
                <w:highlight w:val="yellow"/>
                <w:lang w:bidi="en-US"/>
              </w:rPr>
            </w:pPr>
            <w:r w:rsidRPr="002B1436">
              <w:rPr>
                <w:rFonts w:ascii="Arial" w:hAnsi="Arial" w:cs="Arial"/>
                <w:sz w:val="24"/>
                <w:highlight w:val="yellow"/>
                <w:lang w:bidi="en-US"/>
              </w:rPr>
              <w:t>Renewable electricity – purchased</w:t>
            </w:r>
          </w:p>
        </w:tc>
        <w:tc>
          <w:tcPr>
            <w:tcW w:w="932" w:type="pct"/>
            <w:vAlign w:val="center"/>
          </w:tcPr>
          <w:p w:rsidR="00680B4A" w:rsidRPr="002B1436" w:rsidRDefault="00DF15C8" w:rsidP="002B1436">
            <w:pPr>
              <w:rPr>
                <w:rFonts w:cs="Arial"/>
                <w:highlight w:val="yellow"/>
                <w:lang w:bidi="en-US"/>
              </w:rPr>
            </w:pPr>
            <w:r w:rsidRPr="002B1436">
              <w:rPr>
                <w:rFonts w:cs="Arial"/>
                <w:highlight w:val="yellow"/>
                <w:lang w:bidi="en-US"/>
              </w:rPr>
              <w:t>(</w:t>
            </w:r>
            <w:r w:rsidRPr="002B1436">
              <w:rPr>
                <w:rFonts w:cs="Arial"/>
                <w:b/>
                <w:color w:val="00B050"/>
                <w:highlight w:val="yellow"/>
                <w:lang w:bidi="en-US"/>
              </w:rPr>
              <w:t>6984</w:t>
            </w:r>
            <w:r w:rsidRPr="002B1436">
              <w:rPr>
                <w:rFonts w:cs="Arial"/>
                <w:highlight w:val="yellow"/>
                <w:lang w:bidi="en-US"/>
              </w:rPr>
              <w:t>)</w:t>
            </w:r>
            <w:r w:rsidR="00BE13CC" w:rsidRPr="002B1436">
              <w:rPr>
                <w:rStyle w:val="FootnoteReference"/>
                <w:rFonts w:cs="Arial"/>
                <w:highlight w:val="yellow"/>
                <w:lang w:bidi="en-US"/>
              </w:rPr>
              <w:footnoteReference w:id="93"/>
            </w:r>
          </w:p>
        </w:tc>
        <w:tc>
          <w:tcPr>
            <w:tcW w:w="937" w:type="pct"/>
            <w:vAlign w:val="center"/>
          </w:tcPr>
          <w:p w:rsidR="00680B4A" w:rsidRPr="002B1436" w:rsidRDefault="00EB34D3" w:rsidP="002B1436">
            <w:pPr>
              <w:pStyle w:val="NoSpacing"/>
              <w:rPr>
                <w:rFonts w:ascii="Arial" w:hAnsi="Arial" w:cs="Arial"/>
                <w:sz w:val="24"/>
                <w:highlight w:val="yellow"/>
                <w:lang w:bidi="en-US"/>
              </w:rPr>
            </w:pPr>
            <w:r w:rsidRPr="002B1436">
              <w:rPr>
                <w:rFonts w:ascii="Arial" w:hAnsi="Arial" w:cs="Arial"/>
                <w:sz w:val="24"/>
                <w:highlight w:val="yellow"/>
                <w:lang w:bidi="en-US"/>
              </w:rPr>
              <w:t>0</w:t>
            </w:r>
          </w:p>
        </w:tc>
        <w:tc>
          <w:tcPr>
            <w:tcW w:w="900" w:type="pct"/>
            <w:vAlign w:val="center"/>
          </w:tcPr>
          <w:p w:rsidR="00680B4A" w:rsidRPr="002B1436" w:rsidRDefault="00EB34D3" w:rsidP="002B1436">
            <w:pPr>
              <w:pStyle w:val="NoSpacing"/>
              <w:rPr>
                <w:rFonts w:ascii="Arial" w:hAnsi="Arial" w:cs="Arial"/>
                <w:sz w:val="24"/>
                <w:highlight w:val="yellow"/>
                <w:lang w:bidi="en-US"/>
              </w:rPr>
            </w:pPr>
            <w:r w:rsidRPr="002B1436">
              <w:rPr>
                <w:rFonts w:ascii="Arial" w:hAnsi="Arial" w:cs="Arial"/>
                <w:sz w:val="24"/>
                <w:highlight w:val="yellow"/>
                <w:lang w:bidi="en-US"/>
              </w:rPr>
              <w:t>0</w:t>
            </w:r>
          </w:p>
        </w:tc>
      </w:tr>
      <w:tr w:rsidR="005D6D80" w:rsidRPr="00BE0C01" w:rsidTr="002B1436">
        <w:tc>
          <w:tcPr>
            <w:tcW w:w="755" w:type="pct"/>
            <w:vMerge/>
          </w:tcPr>
          <w:p w:rsidR="00680B4A" w:rsidRPr="002B1436" w:rsidRDefault="00680B4A" w:rsidP="0066199D">
            <w:pPr>
              <w:pStyle w:val="NoSpacing"/>
              <w:rPr>
                <w:rFonts w:ascii="Arial" w:hAnsi="Arial" w:cs="Arial"/>
                <w:sz w:val="24"/>
                <w:highlight w:val="yellow"/>
                <w:lang w:bidi="en-US"/>
              </w:rPr>
            </w:pPr>
          </w:p>
        </w:tc>
        <w:tc>
          <w:tcPr>
            <w:tcW w:w="1476" w:type="pct"/>
          </w:tcPr>
          <w:p w:rsidR="00680B4A" w:rsidRPr="002B1436" w:rsidRDefault="005D6D80" w:rsidP="002B1436">
            <w:pPr>
              <w:pStyle w:val="NoSpacing"/>
              <w:rPr>
                <w:rFonts w:ascii="Arial" w:hAnsi="Arial" w:cs="Arial"/>
                <w:sz w:val="24"/>
                <w:highlight w:val="yellow"/>
                <w:lang w:bidi="en-US"/>
              </w:rPr>
            </w:pPr>
            <w:r w:rsidRPr="002B1436">
              <w:rPr>
                <w:rFonts w:ascii="Arial" w:hAnsi="Arial" w:cs="Arial"/>
                <w:sz w:val="24"/>
                <w:highlight w:val="yellow"/>
                <w:lang w:bidi="en-US"/>
              </w:rPr>
              <w:t>Certified g</w:t>
            </w:r>
            <w:r w:rsidR="00680B4A" w:rsidRPr="002B1436">
              <w:rPr>
                <w:rFonts w:ascii="Arial" w:hAnsi="Arial" w:cs="Arial"/>
                <w:sz w:val="24"/>
                <w:highlight w:val="yellow"/>
                <w:lang w:bidi="en-US"/>
              </w:rPr>
              <w:t xml:space="preserve">rid-injected </w:t>
            </w:r>
            <w:proofErr w:type="spellStart"/>
            <w:r w:rsidR="00680B4A" w:rsidRPr="002B1436">
              <w:rPr>
                <w:rFonts w:ascii="Arial" w:hAnsi="Arial" w:cs="Arial"/>
                <w:sz w:val="24"/>
                <w:highlight w:val="yellow"/>
                <w:lang w:bidi="en-US"/>
              </w:rPr>
              <w:t>biomethane</w:t>
            </w:r>
            <w:proofErr w:type="spellEnd"/>
            <w:r w:rsidR="00680B4A" w:rsidRPr="002B1436">
              <w:rPr>
                <w:rFonts w:ascii="Arial" w:hAnsi="Arial" w:cs="Arial"/>
                <w:sz w:val="24"/>
                <w:highlight w:val="yellow"/>
                <w:lang w:bidi="en-US"/>
              </w:rPr>
              <w:t xml:space="preserve"> – purchased</w:t>
            </w:r>
          </w:p>
        </w:tc>
        <w:tc>
          <w:tcPr>
            <w:tcW w:w="932" w:type="pct"/>
            <w:vAlign w:val="center"/>
          </w:tcPr>
          <w:p w:rsidR="00680B4A" w:rsidRPr="002B1436" w:rsidRDefault="00DF15C8" w:rsidP="002B1436">
            <w:pPr>
              <w:rPr>
                <w:rFonts w:cs="Arial"/>
                <w:color w:val="000000"/>
                <w:szCs w:val="24"/>
                <w:highlight w:val="yellow"/>
              </w:rPr>
            </w:pPr>
            <w:r w:rsidRPr="002B1436">
              <w:rPr>
                <w:rFonts w:cs="Arial"/>
                <w:color w:val="000000"/>
                <w:szCs w:val="24"/>
                <w:highlight w:val="yellow"/>
              </w:rPr>
              <w:t>(500)</w:t>
            </w:r>
          </w:p>
        </w:tc>
        <w:tc>
          <w:tcPr>
            <w:tcW w:w="937" w:type="pct"/>
            <w:vAlign w:val="center"/>
          </w:tcPr>
          <w:p w:rsidR="00680B4A" w:rsidRPr="002B1436" w:rsidRDefault="00EB34D3" w:rsidP="002B1436">
            <w:pPr>
              <w:pStyle w:val="NoSpacing"/>
              <w:rPr>
                <w:rFonts w:ascii="Arial" w:hAnsi="Arial" w:cs="Arial"/>
                <w:sz w:val="24"/>
                <w:highlight w:val="yellow"/>
                <w:lang w:bidi="en-US"/>
              </w:rPr>
            </w:pPr>
            <w:r w:rsidRPr="002B1436">
              <w:rPr>
                <w:rFonts w:ascii="Arial" w:hAnsi="Arial" w:cs="Arial"/>
                <w:sz w:val="24"/>
                <w:highlight w:val="yellow"/>
                <w:lang w:bidi="en-US"/>
              </w:rPr>
              <w:t>0</w:t>
            </w:r>
          </w:p>
        </w:tc>
        <w:tc>
          <w:tcPr>
            <w:tcW w:w="900" w:type="pct"/>
            <w:vAlign w:val="center"/>
          </w:tcPr>
          <w:p w:rsidR="00680B4A" w:rsidRPr="002B1436" w:rsidRDefault="00EB34D3" w:rsidP="002B1436">
            <w:pPr>
              <w:pStyle w:val="NoSpacing"/>
              <w:rPr>
                <w:rFonts w:ascii="Arial" w:hAnsi="Arial" w:cs="Arial"/>
                <w:sz w:val="24"/>
                <w:highlight w:val="yellow"/>
                <w:lang w:bidi="en-US"/>
              </w:rPr>
            </w:pPr>
            <w:r w:rsidRPr="002B1436">
              <w:rPr>
                <w:rFonts w:ascii="Arial" w:hAnsi="Arial" w:cs="Arial"/>
                <w:sz w:val="24"/>
                <w:highlight w:val="yellow"/>
                <w:lang w:bidi="en-US"/>
              </w:rPr>
              <w:t>0</w:t>
            </w:r>
          </w:p>
        </w:tc>
      </w:tr>
      <w:tr w:rsidR="005D6D80" w:rsidRPr="006A6CE3" w:rsidTr="002B1436">
        <w:trPr>
          <w:trHeight w:val="379"/>
        </w:trPr>
        <w:tc>
          <w:tcPr>
            <w:tcW w:w="2231" w:type="pct"/>
            <w:gridSpan w:val="2"/>
            <w:shd w:val="clear" w:color="auto" w:fill="D9D9D9" w:themeFill="background1" w:themeFillShade="D9"/>
            <w:vAlign w:val="center"/>
          </w:tcPr>
          <w:p w:rsidR="00680B4A" w:rsidRPr="002B1436" w:rsidRDefault="00680B4A" w:rsidP="0066199D">
            <w:pPr>
              <w:pStyle w:val="NoSpacing"/>
              <w:rPr>
                <w:rFonts w:ascii="Arial" w:hAnsi="Arial" w:cs="Arial"/>
                <w:b/>
                <w:sz w:val="24"/>
                <w:highlight w:val="yellow"/>
                <w:lang w:bidi="en-US"/>
              </w:rPr>
            </w:pPr>
            <w:r w:rsidRPr="002B1436">
              <w:rPr>
                <w:rFonts w:ascii="Arial" w:hAnsi="Arial" w:cs="Arial"/>
                <w:b/>
                <w:sz w:val="24"/>
                <w:highlight w:val="yellow"/>
                <w:lang w:bidi="en-US"/>
              </w:rPr>
              <w:t>Net emissions</w:t>
            </w:r>
            <w:r w:rsidRPr="002B1436">
              <w:rPr>
                <w:rStyle w:val="FootnoteReference"/>
                <w:rFonts w:ascii="Arial" w:hAnsi="Arial" w:cs="Arial"/>
                <w:b/>
                <w:sz w:val="24"/>
                <w:highlight w:val="yellow"/>
                <w:lang w:bidi="en-US"/>
              </w:rPr>
              <w:footnoteReference w:id="94"/>
            </w:r>
          </w:p>
        </w:tc>
        <w:tc>
          <w:tcPr>
            <w:tcW w:w="932" w:type="pct"/>
            <w:shd w:val="clear" w:color="auto" w:fill="D9D9D9" w:themeFill="background1" w:themeFillShade="D9"/>
            <w:vAlign w:val="center"/>
          </w:tcPr>
          <w:p w:rsidR="00680B4A" w:rsidRPr="002B1436" w:rsidRDefault="00680B4A" w:rsidP="0066199D">
            <w:pPr>
              <w:pStyle w:val="NoSpacing"/>
              <w:autoSpaceDE w:val="0"/>
              <w:autoSpaceDN w:val="0"/>
              <w:adjustRightInd w:val="0"/>
              <w:rPr>
                <w:rFonts w:ascii="Arial" w:hAnsi="Arial" w:cs="Arial"/>
                <w:sz w:val="24"/>
                <w:highlight w:val="yellow"/>
                <w:lang w:bidi="en-US"/>
              </w:rPr>
            </w:pPr>
            <w:r w:rsidRPr="002B1436">
              <w:rPr>
                <w:rFonts w:ascii="Arial" w:hAnsi="Arial" w:cs="Arial"/>
                <w:sz w:val="24"/>
                <w:highlight w:val="yellow"/>
                <w:lang w:bidi="en-US"/>
              </w:rPr>
              <w:t>82,748</w:t>
            </w:r>
          </w:p>
        </w:tc>
        <w:tc>
          <w:tcPr>
            <w:tcW w:w="937" w:type="pct"/>
            <w:shd w:val="clear" w:color="auto" w:fill="D9D9D9" w:themeFill="background1" w:themeFillShade="D9"/>
            <w:vAlign w:val="center"/>
          </w:tcPr>
          <w:p w:rsidR="00680B4A" w:rsidRPr="002B1436" w:rsidRDefault="00680B4A" w:rsidP="0066199D">
            <w:pPr>
              <w:pStyle w:val="NoSpacing"/>
              <w:autoSpaceDE w:val="0"/>
              <w:autoSpaceDN w:val="0"/>
              <w:adjustRightInd w:val="0"/>
              <w:rPr>
                <w:rFonts w:ascii="Arial" w:hAnsi="Arial" w:cs="Arial"/>
                <w:sz w:val="24"/>
                <w:highlight w:val="yellow"/>
                <w:lang w:bidi="en-US"/>
              </w:rPr>
            </w:pPr>
            <w:r w:rsidRPr="002B1436">
              <w:rPr>
                <w:rFonts w:ascii="Arial" w:hAnsi="Arial" w:cs="Arial"/>
                <w:sz w:val="24"/>
                <w:highlight w:val="yellow"/>
                <w:lang w:bidi="en-US"/>
              </w:rPr>
              <w:t>91,375</w:t>
            </w:r>
          </w:p>
        </w:tc>
        <w:tc>
          <w:tcPr>
            <w:tcW w:w="900" w:type="pct"/>
            <w:shd w:val="clear" w:color="auto" w:fill="D9D9D9" w:themeFill="background1" w:themeFillShade="D9"/>
            <w:vAlign w:val="center"/>
          </w:tcPr>
          <w:p w:rsidR="00680B4A" w:rsidRPr="002B1436" w:rsidRDefault="00680B4A" w:rsidP="0066199D">
            <w:pPr>
              <w:pStyle w:val="NoSpacing"/>
              <w:autoSpaceDE w:val="0"/>
              <w:autoSpaceDN w:val="0"/>
              <w:adjustRightInd w:val="0"/>
              <w:rPr>
                <w:rFonts w:ascii="Arial" w:hAnsi="Arial" w:cs="Arial"/>
                <w:sz w:val="24"/>
                <w:highlight w:val="yellow"/>
                <w:lang w:bidi="en-US"/>
              </w:rPr>
            </w:pPr>
            <w:r w:rsidRPr="002B1436">
              <w:rPr>
                <w:rFonts w:ascii="Arial" w:hAnsi="Arial" w:cs="Arial"/>
                <w:sz w:val="24"/>
                <w:highlight w:val="yellow"/>
                <w:lang w:bidi="en-US"/>
              </w:rPr>
              <w:t>31,120</w:t>
            </w:r>
          </w:p>
        </w:tc>
      </w:tr>
    </w:tbl>
    <w:p w:rsidR="00680B4A" w:rsidRDefault="00680B4A" w:rsidP="00680B4A">
      <w:pPr>
        <w:rPr>
          <w:rFonts w:cs="Arial"/>
          <w:b/>
          <w:color w:val="000000"/>
        </w:rPr>
      </w:pPr>
      <w:r w:rsidRPr="002B1436">
        <w:rPr>
          <w:rFonts w:cs="Arial"/>
          <w:b/>
          <w:color w:val="000000"/>
          <w:highlight w:val="yellow"/>
        </w:rPr>
        <w:t>GEOGRAPHICAL BREAKDOWN of 2013-2014 figures</w:t>
      </w:r>
    </w:p>
    <w:p w:rsidR="00680B4A" w:rsidRDefault="00680B4A" w:rsidP="00680B4A">
      <w:pPr>
        <w:rPr>
          <w:rFonts w:cs="Arial"/>
          <w:color w:val="000000"/>
        </w:rPr>
      </w:pPr>
      <w:r>
        <w:rPr>
          <w:rFonts w:cs="Arial"/>
          <w:color w:val="000000"/>
        </w:rPr>
        <w:t>N.B.</w:t>
      </w:r>
      <w:r w:rsidR="00DF15C8">
        <w:rPr>
          <w:rFonts w:cs="Arial"/>
          <w:color w:val="000000"/>
        </w:rPr>
        <w:t xml:space="preserve"> </w:t>
      </w:r>
      <w:r w:rsidRPr="006A6CE3">
        <w:rPr>
          <w:rFonts w:cs="Arial"/>
          <w:color w:val="000000"/>
        </w:rPr>
        <w:t xml:space="preserve">Emissions from facilities in Mongolia </w:t>
      </w:r>
      <w:r w:rsidR="00B05533">
        <w:rPr>
          <w:rFonts w:cs="Arial"/>
          <w:color w:val="000000"/>
        </w:rPr>
        <w:t xml:space="preserve">are </w:t>
      </w:r>
      <w:r w:rsidRPr="006A6CE3">
        <w:rPr>
          <w:rFonts w:cs="Arial"/>
          <w:color w:val="000000"/>
        </w:rPr>
        <w:t xml:space="preserve">excluded as these are newly acquired operations which did not exist in our base year.  We estimate that this is less than 2% of total </w:t>
      </w:r>
      <w:r>
        <w:rPr>
          <w:rFonts w:cs="Arial"/>
          <w:color w:val="000000"/>
        </w:rPr>
        <w:t>S</w:t>
      </w:r>
      <w:r w:rsidRPr="006A6CE3">
        <w:rPr>
          <w:rFonts w:cs="Arial"/>
          <w:color w:val="000000"/>
        </w:rPr>
        <w:t xml:space="preserve">cope 1 and </w:t>
      </w:r>
      <w:r>
        <w:rPr>
          <w:rFonts w:cs="Arial"/>
          <w:color w:val="000000"/>
        </w:rPr>
        <w:t xml:space="preserve">Scope </w:t>
      </w:r>
      <w:r w:rsidRPr="006A6CE3">
        <w:rPr>
          <w:rFonts w:cs="Arial"/>
          <w:color w:val="000000"/>
        </w:rPr>
        <w:t>2 emissions.</w:t>
      </w:r>
    </w:p>
    <w:p w:rsidR="00FC7F04" w:rsidRDefault="00FC7F04" w:rsidP="002B1436">
      <w:pPr>
        <w:pStyle w:val="Caption"/>
      </w:pPr>
      <w:bookmarkStart w:id="335" w:name="_Ref380763945"/>
      <w:bookmarkStart w:id="336" w:name="_Ref380763939"/>
      <w:r w:rsidRPr="002B1436">
        <w:rPr>
          <w:highlight w:val="yellow"/>
        </w:rPr>
        <w:lastRenderedPageBreak/>
        <w:t xml:space="preserve">Table </w:t>
      </w:r>
      <w:r w:rsidRPr="002B1436">
        <w:rPr>
          <w:highlight w:val="yellow"/>
        </w:rPr>
        <w:fldChar w:fldCharType="begin"/>
      </w:r>
      <w:r w:rsidRPr="002B1436">
        <w:rPr>
          <w:highlight w:val="yellow"/>
        </w:rPr>
        <w:instrText xml:space="preserve"> SEQ Table \* ARABIC </w:instrText>
      </w:r>
      <w:r w:rsidRPr="002B1436">
        <w:rPr>
          <w:highlight w:val="yellow"/>
        </w:rPr>
        <w:fldChar w:fldCharType="separate"/>
      </w:r>
      <w:r w:rsidR="005D6D80" w:rsidRPr="002B1436">
        <w:rPr>
          <w:noProof/>
          <w:highlight w:val="yellow"/>
        </w:rPr>
        <w:t>5</w:t>
      </w:r>
      <w:r w:rsidRPr="002B1436">
        <w:rPr>
          <w:highlight w:val="yellow"/>
        </w:rPr>
        <w:fldChar w:fldCharType="end"/>
      </w:r>
      <w:bookmarkEnd w:id="335"/>
      <w:r w:rsidRPr="002B1436">
        <w:rPr>
          <w:highlight w:val="yellow"/>
        </w:rPr>
        <w:t xml:space="preserve"> - Geographical breakdown of </w:t>
      </w:r>
      <w:proofErr w:type="spellStart"/>
      <w:r w:rsidRPr="002B1436">
        <w:rPr>
          <w:highlight w:val="yellow"/>
        </w:rPr>
        <w:t>electricty</w:t>
      </w:r>
      <w:proofErr w:type="spellEnd"/>
      <w:r w:rsidRPr="002B1436">
        <w:rPr>
          <w:highlight w:val="yellow"/>
        </w:rPr>
        <w:t xml:space="preserve"> usage</w:t>
      </w:r>
      <w:bookmarkEnd w:id="3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324"/>
        <w:gridCol w:w="2603"/>
        <w:gridCol w:w="2464"/>
      </w:tblGrid>
      <w:tr w:rsidR="00680B4A" w:rsidRPr="00B4431C" w:rsidTr="0066199D">
        <w:tc>
          <w:tcPr>
            <w:tcW w:w="1250" w:type="pct"/>
            <w:shd w:val="clear" w:color="auto" w:fill="auto"/>
          </w:tcPr>
          <w:p w:rsidR="00680B4A" w:rsidRPr="00B4431C" w:rsidRDefault="00680B4A" w:rsidP="0066199D">
            <w:pPr>
              <w:spacing w:before="0" w:after="0" w:line="240" w:lineRule="auto"/>
              <w:jc w:val="center"/>
              <w:rPr>
                <w:rFonts w:cs="Arial"/>
                <w:szCs w:val="24"/>
              </w:rPr>
            </w:pPr>
            <w:r w:rsidRPr="00B4431C">
              <w:rPr>
                <w:rFonts w:cs="Arial"/>
                <w:szCs w:val="24"/>
              </w:rPr>
              <w:t>2013-2014</w:t>
            </w:r>
          </w:p>
        </w:tc>
        <w:tc>
          <w:tcPr>
            <w:tcW w:w="3750" w:type="pct"/>
            <w:gridSpan w:val="3"/>
            <w:shd w:val="clear" w:color="auto" w:fill="auto"/>
          </w:tcPr>
          <w:p w:rsidR="00680B4A" w:rsidRPr="00B4431C" w:rsidRDefault="00680B4A" w:rsidP="0066199D">
            <w:pPr>
              <w:spacing w:before="0" w:after="0" w:line="240" w:lineRule="auto"/>
              <w:jc w:val="center"/>
              <w:rPr>
                <w:rFonts w:cs="Arial"/>
                <w:szCs w:val="24"/>
              </w:rPr>
            </w:pPr>
            <w:proofErr w:type="spellStart"/>
            <w:r>
              <w:rPr>
                <w:rFonts w:cs="Arial"/>
                <w:szCs w:val="24"/>
                <w:lang w:bidi="en-US"/>
              </w:rPr>
              <w:t>MWh</w:t>
            </w:r>
            <w:proofErr w:type="spellEnd"/>
          </w:p>
        </w:tc>
      </w:tr>
      <w:tr w:rsidR="00680B4A" w:rsidRPr="00B4431C" w:rsidTr="002B1436">
        <w:tc>
          <w:tcPr>
            <w:tcW w:w="1250"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p>
        </w:tc>
        <w:tc>
          <w:tcPr>
            <w:tcW w:w="1179" w:type="pct"/>
            <w:shd w:val="clear" w:color="auto" w:fill="auto"/>
          </w:tcPr>
          <w:p w:rsidR="00680B4A" w:rsidRPr="00B4431C" w:rsidRDefault="00680B4A" w:rsidP="0066199D">
            <w:pPr>
              <w:spacing w:before="0" w:after="0" w:line="240" w:lineRule="auto"/>
              <w:rPr>
                <w:rFonts w:cs="Arial"/>
                <w:szCs w:val="24"/>
              </w:rPr>
            </w:pPr>
            <w:r>
              <w:rPr>
                <w:rFonts w:cs="Arial"/>
                <w:szCs w:val="24"/>
              </w:rPr>
              <w:t xml:space="preserve">Gross purchased </w:t>
            </w:r>
            <w:proofErr w:type="spellStart"/>
            <w:r>
              <w:rPr>
                <w:rFonts w:cs="Arial"/>
                <w:szCs w:val="24"/>
              </w:rPr>
              <w:t>electicity</w:t>
            </w:r>
            <w:proofErr w:type="spellEnd"/>
            <w:r>
              <w:rPr>
                <w:rFonts w:cs="Arial"/>
                <w:szCs w:val="24"/>
              </w:rPr>
              <w:t xml:space="preserve"> </w:t>
            </w:r>
          </w:p>
        </w:tc>
        <w:tc>
          <w:tcPr>
            <w:tcW w:w="1321" w:type="pct"/>
            <w:shd w:val="clear" w:color="auto" w:fill="auto"/>
          </w:tcPr>
          <w:p w:rsidR="00680B4A" w:rsidRPr="00B4431C" w:rsidRDefault="00680B4A" w:rsidP="0066199D">
            <w:pPr>
              <w:spacing w:before="0" w:after="0" w:line="240" w:lineRule="auto"/>
              <w:rPr>
                <w:rFonts w:cs="Arial"/>
                <w:szCs w:val="24"/>
              </w:rPr>
            </w:pPr>
            <w:r>
              <w:rPr>
                <w:rFonts w:cs="Arial"/>
                <w:szCs w:val="24"/>
              </w:rPr>
              <w:t>Purchased renewable electricity</w:t>
            </w:r>
          </w:p>
        </w:tc>
        <w:tc>
          <w:tcPr>
            <w:tcW w:w="1250" w:type="pct"/>
            <w:shd w:val="clear" w:color="auto" w:fill="auto"/>
          </w:tcPr>
          <w:p w:rsidR="00680B4A" w:rsidRPr="00B4431C" w:rsidRDefault="00680B4A">
            <w:pPr>
              <w:spacing w:before="0" w:after="0" w:line="240" w:lineRule="auto"/>
              <w:rPr>
                <w:rFonts w:cs="Arial"/>
                <w:szCs w:val="24"/>
              </w:rPr>
            </w:pPr>
            <w:r>
              <w:rPr>
                <w:rFonts w:cs="Arial"/>
                <w:szCs w:val="24"/>
              </w:rPr>
              <w:t>Diffe</w:t>
            </w:r>
            <w:r w:rsidR="004F133D">
              <w:rPr>
                <w:rFonts w:cs="Arial"/>
                <w:szCs w:val="24"/>
              </w:rPr>
              <w:t xml:space="preserve">rence </w:t>
            </w:r>
            <w:r w:rsidR="005813B0">
              <w:rPr>
                <w:rFonts w:cs="Arial"/>
                <w:szCs w:val="24"/>
              </w:rPr>
              <w:t>(i.e. non-renewable)</w:t>
            </w:r>
            <w:r w:rsidR="005813B0">
              <w:rPr>
                <w:rStyle w:val="FootnoteReference"/>
                <w:rFonts w:cs="Arial"/>
                <w:szCs w:val="24"/>
              </w:rPr>
              <w:t xml:space="preserve"> </w:t>
            </w:r>
            <w:r w:rsidR="005813B0">
              <w:rPr>
                <w:rStyle w:val="FootnoteReference"/>
                <w:rFonts w:cs="Arial"/>
                <w:szCs w:val="24"/>
              </w:rPr>
              <w:footnoteReference w:id="95"/>
            </w:r>
          </w:p>
        </w:tc>
      </w:tr>
      <w:tr w:rsidR="00680B4A" w:rsidRPr="00B4431C" w:rsidTr="002B1436">
        <w:tc>
          <w:tcPr>
            <w:tcW w:w="1250"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sidRPr="00EB1848">
              <w:rPr>
                <w:rFonts w:eastAsia="Times New Roman" w:cs="Arial"/>
                <w:szCs w:val="24"/>
                <w:lang w:bidi="en-US"/>
              </w:rPr>
              <w:t>UK</w:t>
            </w:r>
          </w:p>
        </w:tc>
        <w:tc>
          <w:tcPr>
            <w:tcW w:w="1179"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Pr>
                <w:rFonts w:cs="Arial"/>
                <w:color w:val="000000"/>
              </w:rPr>
              <w:t>12,000</w:t>
            </w:r>
          </w:p>
        </w:tc>
        <w:tc>
          <w:tcPr>
            <w:tcW w:w="1321"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Pr>
                <w:rFonts w:cs="Arial"/>
                <w:color w:val="000000"/>
              </w:rPr>
              <w:t>3,000</w:t>
            </w:r>
          </w:p>
        </w:tc>
        <w:tc>
          <w:tcPr>
            <w:tcW w:w="1250" w:type="pct"/>
            <w:shd w:val="clear" w:color="auto" w:fill="auto"/>
            <w:vAlign w:val="bottom"/>
          </w:tcPr>
          <w:p w:rsidR="00680B4A" w:rsidRPr="00B4431C" w:rsidRDefault="00680B4A" w:rsidP="0066199D">
            <w:pPr>
              <w:spacing w:before="0" w:after="0" w:line="240" w:lineRule="auto"/>
              <w:rPr>
                <w:rFonts w:cs="Arial"/>
                <w:szCs w:val="24"/>
              </w:rPr>
            </w:pPr>
            <w:r>
              <w:rPr>
                <w:rFonts w:cs="Arial"/>
                <w:color w:val="000000"/>
              </w:rPr>
              <w:t>9,000</w:t>
            </w:r>
          </w:p>
        </w:tc>
      </w:tr>
      <w:tr w:rsidR="00680B4A" w:rsidRPr="00B4431C" w:rsidTr="002B1436">
        <w:tc>
          <w:tcPr>
            <w:tcW w:w="1250"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sidRPr="00EB1848">
              <w:rPr>
                <w:rFonts w:eastAsia="Times New Roman" w:cs="Arial"/>
                <w:szCs w:val="24"/>
                <w:lang w:bidi="en-US"/>
              </w:rPr>
              <w:t>USA</w:t>
            </w:r>
          </w:p>
        </w:tc>
        <w:tc>
          <w:tcPr>
            <w:tcW w:w="1179"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Pr>
                <w:rFonts w:cs="Arial"/>
                <w:color w:val="000000"/>
              </w:rPr>
              <w:t>20,000</w:t>
            </w:r>
          </w:p>
        </w:tc>
        <w:tc>
          <w:tcPr>
            <w:tcW w:w="1321"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Pr>
                <w:rFonts w:cs="Arial"/>
                <w:color w:val="000000"/>
              </w:rPr>
              <w:t>5,000</w:t>
            </w:r>
          </w:p>
        </w:tc>
        <w:tc>
          <w:tcPr>
            <w:tcW w:w="1250" w:type="pct"/>
            <w:shd w:val="clear" w:color="auto" w:fill="auto"/>
            <w:vAlign w:val="bottom"/>
          </w:tcPr>
          <w:p w:rsidR="00680B4A" w:rsidRPr="00B4431C" w:rsidRDefault="00680B4A" w:rsidP="0066199D">
            <w:pPr>
              <w:spacing w:before="0" w:after="0" w:line="240" w:lineRule="auto"/>
              <w:rPr>
                <w:rFonts w:cs="Arial"/>
                <w:szCs w:val="24"/>
              </w:rPr>
            </w:pPr>
            <w:r>
              <w:rPr>
                <w:rFonts w:cs="Arial"/>
                <w:color w:val="000000"/>
              </w:rPr>
              <w:t>15,000</w:t>
            </w:r>
          </w:p>
        </w:tc>
      </w:tr>
      <w:tr w:rsidR="00680B4A" w:rsidRPr="00B4431C" w:rsidTr="002B1436">
        <w:tc>
          <w:tcPr>
            <w:tcW w:w="1250"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sidRPr="00EB1848">
              <w:rPr>
                <w:rFonts w:eastAsia="Times New Roman" w:cs="Arial"/>
                <w:szCs w:val="24"/>
                <w:lang w:bidi="en-US"/>
              </w:rPr>
              <w:t>South Africa</w:t>
            </w:r>
          </w:p>
        </w:tc>
        <w:tc>
          <w:tcPr>
            <w:tcW w:w="1179"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Pr>
                <w:rFonts w:cs="Arial"/>
                <w:color w:val="000000"/>
              </w:rPr>
              <w:t>3,000</w:t>
            </w:r>
          </w:p>
        </w:tc>
        <w:tc>
          <w:tcPr>
            <w:tcW w:w="1321"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Pr>
                <w:rFonts w:cs="Arial"/>
                <w:color w:val="000000"/>
              </w:rPr>
              <w:t>0</w:t>
            </w:r>
          </w:p>
        </w:tc>
        <w:tc>
          <w:tcPr>
            <w:tcW w:w="1250" w:type="pct"/>
            <w:shd w:val="clear" w:color="auto" w:fill="auto"/>
            <w:vAlign w:val="bottom"/>
          </w:tcPr>
          <w:p w:rsidR="00680B4A" w:rsidRPr="00B4431C" w:rsidRDefault="00680B4A" w:rsidP="0066199D">
            <w:pPr>
              <w:spacing w:before="0" w:after="0" w:line="240" w:lineRule="auto"/>
              <w:rPr>
                <w:rFonts w:cs="Arial"/>
                <w:szCs w:val="24"/>
              </w:rPr>
            </w:pPr>
            <w:r>
              <w:rPr>
                <w:rFonts w:cs="Arial"/>
                <w:color w:val="000000"/>
              </w:rPr>
              <w:t>3,000</w:t>
            </w:r>
          </w:p>
        </w:tc>
      </w:tr>
      <w:tr w:rsidR="00680B4A" w:rsidRPr="00B4431C" w:rsidTr="002B1436">
        <w:tc>
          <w:tcPr>
            <w:tcW w:w="1250"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sidRPr="00EB1848">
              <w:rPr>
                <w:rFonts w:eastAsia="Times New Roman" w:cs="Arial"/>
                <w:szCs w:val="24"/>
                <w:lang w:bidi="en-US"/>
              </w:rPr>
              <w:t>Mongolia</w:t>
            </w:r>
          </w:p>
        </w:tc>
        <w:tc>
          <w:tcPr>
            <w:tcW w:w="1179"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sidRPr="00EB1848">
              <w:rPr>
                <w:rFonts w:eastAsia="Times New Roman" w:cs="Arial"/>
                <w:szCs w:val="24"/>
                <w:lang w:bidi="en-US"/>
              </w:rPr>
              <w:t>N/A</w:t>
            </w:r>
          </w:p>
        </w:tc>
        <w:tc>
          <w:tcPr>
            <w:tcW w:w="1321"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sidRPr="00EB1848">
              <w:rPr>
                <w:rFonts w:eastAsia="Times New Roman" w:cs="Arial"/>
                <w:szCs w:val="24"/>
                <w:lang w:bidi="en-US"/>
              </w:rPr>
              <w:t>N/A</w:t>
            </w:r>
          </w:p>
        </w:tc>
        <w:tc>
          <w:tcPr>
            <w:tcW w:w="1250" w:type="pct"/>
            <w:shd w:val="clear" w:color="auto" w:fill="auto"/>
          </w:tcPr>
          <w:p w:rsidR="00680B4A" w:rsidRPr="00B4431C" w:rsidRDefault="00680B4A" w:rsidP="0066199D">
            <w:pPr>
              <w:spacing w:before="0" w:after="0" w:line="240" w:lineRule="auto"/>
              <w:rPr>
                <w:rFonts w:cs="Arial"/>
                <w:szCs w:val="24"/>
              </w:rPr>
            </w:pPr>
            <w:r>
              <w:rPr>
                <w:rFonts w:cs="Arial"/>
                <w:szCs w:val="24"/>
              </w:rPr>
              <w:t>N/A</w:t>
            </w:r>
          </w:p>
        </w:tc>
      </w:tr>
      <w:tr w:rsidR="00680B4A" w:rsidRPr="00B4431C" w:rsidTr="002B1436">
        <w:tc>
          <w:tcPr>
            <w:tcW w:w="1250" w:type="pct"/>
            <w:shd w:val="clear" w:color="auto" w:fill="D9D9D9" w:themeFill="background1" w:themeFillShade="D9"/>
            <w:vAlign w:val="bottom"/>
          </w:tcPr>
          <w:p w:rsidR="00680B4A" w:rsidRPr="00EB1848" w:rsidRDefault="00680B4A" w:rsidP="0066199D">
            <w:pPr>
              <w:spacing w:before="0" w:after="0" w:line="240" w:lineRule="auto"/>
              <w:rPr>
                <w:rFonts w:eastAsia="Times New Roman" w:cs="Arial"/>
                <w:szCs w:val="24"/>
                <w:lang w:bidi="en-US"/>
              </w:rPr>
            </w:pPr>
            <w:r>
              <w:rPr>
                <w:rFonts w:eastAsia="Times New Roman" w:cs="Arial"/>
                <w:szCs w:val="24"/>
                <w:lang w:bidi="en-US"/>
              </w:rPr>
              <w:t>TOTAL</w:t>
            </w:r>
          </w:p>
        </w:tc>
        <w:tc>
          <w:tcPr>
            <w:tcW w:w="1179" w:type="pct"/>
            <w:shd w:val="clear" w:color="auto" w:fill="D9D9D9" w:themeFill="background1" w:themeFillShade="D9"/>
            <w:vAlign w:val="bottom"/>
          </w:tcPr>
          <w:p w:rsidR="00680B4A" w:rsidRPr="00B055F6" w:rsidRDefault="00680B4A" w:rsidP="0066199D">
            <w:pPr>
              <w:spacing w:before="0" w:after="0" w:line="240" w:lineRule="auto"/>
              <w:rPr>
                <w:rFonts w:eastAsia="Times New Roman" w:cs="Arial"/>
                <w:szCs w:val="24"/>
                <w:lang w:bidi="en-US"/>
              </w:rPr>
            </w:pPr>
            <w:r w:rsidRPr="00C76B98">
              <w:rPr>
                <w:rFonts w:cs="Arial"/>
                <w:bCs/>
              </w:rPr>
              <w:t>35</w:t>
            </w:r>
            <w:r>
              <w:rPr>
                <w:rFonts w:cs="Arial"/>
                <w:bCs/>
              </w:rPr>
              <w:t>,</w:t>
            </w:r>
            <w:r w:rsidRPr="00C76B98">
              <w:rPr>
                <w:rFonts w:cs="Arial"/>
                <w:bCs/>
              </w:rPr>
              <w:t>000</w:t>
            </w:r>
          </w:p>
        </w:tc>
        <w:tc>
          <w:tcPr>
            <w:tcW w:w="1321" w:type="pct"/>
            <w:shd w:val="clear" w:color="auto" w:fill="D9D9D9" w:themeFill="background1" w:themeFillShade="D9"/>
            <w:vAlign w:val="bottom"/>
          </w:tcPr>
          <w:p w:rsidR="00680B4A" w:rsidRPr="00B055F6" w:rsidRDefault="00680B4A" w:rsidP="0066199D">
            <w:pPr>
              <w:spacing w:before="0" w:after="0" w:line="240" w:lineRule="auto"/>
              <w:rPr>
                <w:rFonts w:eastAsia="Times New Roman" w:cs="Arial"/>
                <w:szCs w:val="24"/>
                <w:lang w:bidi="en-US"/>
              </w:rPr>
            </w:pPr>
            <w:r w:rsidRPr="00C76B98">
              <w:rPr>
                <w:rFonts w:cs="Arial"/>
                <w:bCs/>
              </w:rPr>
              <w:t>8</w:t>
            </w:r>
            <w:r>
              <w:rPr>
                <w:rFonts w:cs="Arial"/>
                <w:bCs/>
              </w:rPr>
              <w:t>,</w:t>
            </w:r>
            <w:r w:rsidRPr="00C76B98">
              <w:rPr>
                <w:rFonts w:cs="Arial"/>
                <w:bCs/>
              </w:rPr>
              <w:t>000</w:t>
            </w:r>
          </w:p>
        </w:tc>
        <w:tc>
          <w:tcPr>
            <w:tcW w:w="1250" w:type="pct"/>
            <w:shd w:val="clear" w:color="auto" w:fill="D9D9D9" w:themeFill="background1" w:themeFillShade="D9"/>
            <w:vAlign w:val="bottom"/>
          </w:tcPr>
          <w:p w:rsidR="00680B4A" w:rsidRPr="00B055F6" w:rsidRDefault="00680B4A" w:rsidP="0066199D">
            <w:pPr>
              <w:spacing w:before="0" w:after="0" w:line="240" w:lineRule="auto"/>
              <w:rPr>
                <w:rFonts w:cs="Arial"/>
                <w:szCs w:val="24"/>
              </w:rPr>
            </w:pPr>
            <w:r w:rsidRPr="00C76B98">
              <w:rPr>
                <w:rFonts w:cs="Arial"/>
                <w:bCs/>
              </w:rPr>
              <w:t>27</w:t>
            </w:r>
            <w:r>
              <w:rPr>
                <w:rFonts w:cs="Arial"/>
                <w:bCs/>
              </w:rPr>
              <w:t>,</w:t>
            </w:r>
            <w:r w:rsidRPr="00C76B98">
              <w:rPr>
                <w:rFonts w:cs="Arial"/>
                <w:bCs/>
              </w:rPr>
              <w:t>000</w:t>
            </w:r>
          </w:p>
        </w:tc>
      </w:tr>
    </w:tbl>
    <w:p w:rsidR="00680B4A" w:rsidRPr="00C76B98" w:rsidRDefault="00FC7F04" w:rsidP="002B1436">
      <w:pPr>
        <w:pStyle w:val="Caption"/>
        <w:rPr>
          <w:rFonts w:cs="Arial"/>
          <w:color w:val="000000"/>
        </w:rPr>
      </w:pPr>
      <w:bookmarkStart w:id="337" w:name="_Ref380763970"/>
      <w:r w:rsidRPr="002B1436">
        <w:rPr>
          <w:highlight w:val="yellow"/>
        </w:rPr>
        <w:t xml:space="preserve">Table </w:t>
      </w:r>
      <w:r w:rsidRPr="002B1436">
        <w:rPr>
          <w:highlight w:val="yellow"/>
        </w:rPr>
        <w:fldChar w:fldCharType="begin"/>
      </w:r>
      <w:r w:rsidRPr="002B1436">
        <w:rPr>
          <w:highlight w:val="yellow"/>
        </w:rPr>
        <w:instrText xml:space="preserve"> SEQ Table \* ARABIC </w:instrText>
      </w:r>
      <w:r w:rsidRPr="002B1436">
        <w:rPr>
          <w:highlight w:val="yellow"/>
        </w:rPr>
        <w:fldChar w:fldCharType="separate"/>
      </w:r>
      <w:r w:rsidR="005D6D80" w:rsidRPr="002B1436">
        <w:rPr>
          <w:noProof/>
          <w:highlight w:val="yellow"/>
        </w:rPr>
        <w:t>6</w:t>
      </w:r>
      <w:r w:rsidRPr="002B1436">
        <w:rPr>
          <w:highlight w:val="yellow"/>
        </w:rPr>
        <w:fldChar w:fldCharType="end"/>
      </w:r>
      <w:bookmarkEnd w:id="337"/>
      <w:r w:rsidRPr="002B1436">
        <w:rPr>
          <w:highlight w:val="yellow"/>
        </w:rPr>
        <w:t xml:space="preserve"> - Geographical breakdown of emissions factors</w:t>
      </w:r>
      <w:r w:rsidRPr="00A77D2F">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324"/>
        <w:gridCol w:w="2603"/>
        <w:gridCol w:w="2464"/>
      </w:tblGrid>
      <w:tr w:rsidR="00680B4A" w:rsidRPr="00B4431C" w:rsidTr="0066199D">
        <w:tc>
          <w:tcPr>
            <w:tcW w:w="1250" w:type="pct"/>
            <w:shd w:val="clear" w:color="auto" w:fill="auto"/>
          </w:tcPr>
          <w:p w:rsidR="00680B4A" w:rsidRPr="00B4431C" w:rsidRDefault="00680B4A" w:rsidP="0066199D">
            <w:pPr>
              <w:spacing w:before="0" w:after="0" w:line="240" w:lineRule="auto"/>
              <w:jc w:val="center"/>
              <w:rPr>
                <w:rFonts w:cs="Arial"/>
                <w:szCs w:val="24"/>
              </w:rPr>
            </w:pPr>
            <w:r w:rsidRPr="00B4431C">
              <w:rPr>
                <w:rFonts w:cs="Arial"/>
                <w:szCs w:val="24"/>
              </w:rPr>
              <w:t>2013-2014</w:t>
            </w:r>
          </w:p>
        </w:tc>
        <w:tc>
          <w:tcPr>
            <w:tcW w:w="3750" w:type="pct"/>
            <w:gridSpan w:val="3"/>
            <w:shd w:val="clear" w:color="auto" w:fill="auto"/>
          </w:tcPr>
          <w:p w:rsidR="00680B4A" w:rsidRPr="00B4431C" w:rsidRDefault="00680B4A" w:rsidP="0066199D">
            <w:pPr>
              <w:spacing w:before="0" w:after="0" w:line="240" w:lineRule="auto"/>
              <w:jc w:val="center"/>
              <w:rPr>
                <w:rFonts w:cs="Arial"/>
                <w:szCs w:val="24"/>
              </w:rPr>
            </w:pPr>
            <w:r>
              <w:rPr>
                <w:rFonts w:cs="Arial"/>
                <w:szCs w:val="24"/>
                <w:lang w:bidi="en-US"/>
              </w:rPr>
              <w:t xml:space="preserve">Tonnes </w:t>
            </w:r>
            <w:r w:rsidRPr="00B4431C">
              <w:rPr>
                <w:rFonts w:cs="Arial"/>
                <w:szCs w:val="24"/>
                <w:lang w:bidi="en-US"/>
              </w:rPr>
              <w:t>CO</w:t>
            </w:r>
            <w:r w:rsidRPr="00B4431C">
              <w:rPr>
                <w:rFonts w:cs="Arial"/>
                <w:szCs w:val="24"/>
                <w:vertAlign w:val="subscript"/>
                <w:lang w:bidi="en-US"/>
              </w:rPr>
              <w:t>2</w:t>
            </w:r>
            <w:r w:rsidRPr="00B4431C">
              <w:rPr>
                <w:rFonts w:cs="Arial"/>
                <w:szCs w:val="24"/>
                <w:lang w:bidi="en-US"/>
              </w:rPr>
              <w:t>e</w:t>
            </w:r>
            <w:r>
              <w:rPr>
                <w:rFonts w:cs="Arial"/>
                <w:szCs w:val="24"/>
                <w:lang w:bidi="en-US"/>
              </w:rPr>
              <w:t xml:space="preserve"> / </w:t>
            </w:r>
            <w:proofErr w:type="spellStart"/>
            <w:r>
              <w:rPr>
                <w:rFonts w:cs="Arial"/>
                <w:szCs w:val="24"/>
                <w:lang w:bidi="en-US"/>
              </w:rPr>
              <w:t>MWh</w:t>
            </w:r>
            <w:proofErr w:type="spellEnd"/>
          </w:p>
        </w:tc>
      </w:tr>
      <w:tr w:rsidR="00680B4A" w:rsidRPr="00B4431C" w:rsidTr="002B1436">
        <w:tc>
          <w:tcPr>
            <w:tcW w:w="1250" w:type="pct"/>
            <w:shd w:val="clear" w:color="auto" w:fill="auto"/>
            <w:vAlign w:val="bottom"/>
          </w:tcPr>
          <w:p w:rsidR="00680B4A" w:rsidRPr="00EE5A85" w:rsidRDefault="00680B4A" w:rsidP="0066199D">
            <w:pPr>
              <w:spacing w:before="0" w:after="0" w:line="240" w:lineRule="auto"/>
              <w:rPr>
                <w:rFonts w:eastAsia="Times New Roman" w:cs="Arial"/>
                <w:szCs w:val="24"/>
                <w:lang w:bidi="en-US"/>
              </w:rPr>
            </w:pPr>
          </w:p>
        </w:tc>
        <w:tc>
          <w:tcPr>
            <w:tcW w:w="1179" w:type="pct"/>
            <w:shd w:val="clear" w:color="auto" w:fill="auto"/>
            <w:vAlign w:val="bottom"/>
          </w:tcPr>
          <w:p w:rsidR="00680B4A" w:rsidRPr="00EE5A85" w:rsidRDefault="00680B4A" w:rsidP="0066199D">
            <w:pPr>
              <w:spacing w:before="0" w:after="0" w:line="240" w:lineRule="auto"/>
              <w:rPr>
                <w:rFonts w:cs="Arial"/>
                <w:szCs w:val="24"/>
              </w:rPr>
            </w:pPr>
            <w:r w:rsidRPr="00C76B98">
              <w:rPr>
                <w:rFonts w:cs="Arial"/>
                <w:bCs/>
                <w:color w:val="000000"/>
              </w:rPr>
              <w:t>Grid-average</w:t>
            </w:r>
            <w:r w:rsidR="003F7294">
              <w:rPr>
                <w:rStyle w:val="FootnoteReference"/>
                <w:rFonts w:cs="Arial"/>
                <w:bCs/>
                <w:color w:val="000000"/>
              </w:rPr>
              <w:footnoteReference w:id="96"/>
            </w:r>
          </w:p>
        </w:tc>
        <w:tc>
          <w:tcPr>
            <w:tcW w:w="1321" w:type="pct"/>
            <w:shd w:val="clear" w:color="auto" w:fill="auto"/>
            <w:vAlign w:val="bottom"/>
          </w:tcPr>
          <w:p w:rsidR="00680B4A" w:rsidRPr="00EE5A85" w:rsidRDefault="00680B4A" w:rsidP="0066199D">
            <w:pPr>
              <w:spacing w:before="0" w:after="0" w:line="240" w:lineRule="auto"/>
              <w:rPr>
                <w:rFonts w:cs="Arial"/>
                <w:szCs w:val="24"/>
              </w:rPr>
            </w:pPr>
            <w:r w:rsidRPr="00C76B98">
              <w:rPr>
                <w:rFonts w:cs="Arial"/>
                <w:bCs/>
                <w:color w:val="000000"/>
              </w:rPr>
              <w:t>Renewable</w:t>
            </w:r>
            <w:r w:rsidR="003F7294">
              <w:rPr>
                <w:rStyle w:val="FootnoteReference"/>
                <w:rFonts w:cs="Arial"/>
                <w:bCs/>
                <w:color w:val="000000"/>
              </w:rPr>
              <w:footnoteReference w:id="97"/>
            </w:r>
            <w:r w:rsidR="003F7294" w:rsidRPr="00A93E4F">
              <w:rPr>
                <w:rFonts w:cs="Arial"/>
                <w:bCs/>
                <w:color w:val="000000"/>
              </w:rPr>
              <w:t xml:space="preserve"> </w:t>
            </w:r>
            <w:r w:rsidRPr="00C76B98">
              <w:rPr>
                <w:rFonts w:cs="Arial"/>
                <w:bCs/>
                <w:color w:val="000000"/>
              </w:rPr>
              <w:t xml:space="preserve"> </w:t>
            </w:r>
          </w:p>
        </w:tc>
        <w:tc>
          <w:tcPr>
            <w:tcW w:w="1250" w:type="pct"/>
            <w:shd w:val="clear" w:color="auto" w:fill="auto"/>
            <w:vAlign w:val="bottom"/>
          </w:tcPr>
          <w:p w:rsidR="00680B4A" w:rsidRPr="00EE5A85" w:rsidRDefault="00680B4A" w:rsidP="0066199D">
            <w:pPr>
              <w:spacing w:before="0" w:after="0" w:line="240" w:lineRule="auto"/>
              <w:rPr>
                <w:rFonts w:cs="Arial"/>
                <w:szCs w:val="24"/>
              </w:rPr>
            </w:pPr>
            <w:r w:rsidRPr="00C76B98">
              <w:rPr>
                <w:rFonts w:cs="Arial"/>
                <w:bCs/>
                <w:color w:val="000000"/>
              </w:rPr>
              <w:t>Residual mix</w:t>
            </w:r>
            <w:r w:rsidR="003F7294">
              <w:rPr>
                <w:rStyle w:val="FootnoteReference"/>
                <w:rFonts w:cs="Arial"/>
                <w:bCs/>
                <w:color w:val="000000"/>
              </w:rPr>
              <w:footnoteReference w:id="98"/>
            </w:r>
            <w:r w:rsidR="003F7294" w:rsidRPr="00A93E4F">
              <w:rPr>
                <w:rFonts w:cs="Arial"/>
                <w:bCs/>
                <w:color w:val="000000"/>
              </w:rPr>
              <w:t xml:space="preserve"> </w:t>
            </w:r>
            <w:r w:rsidRPr="00C76B98">
              <w:rPr>
                <w:rFonts w:cs="Arial"/>
                <w:bCs/>
                <w:color w:val="000000"/>
              </w:rPr>
              <w:t xml:space="preserve"> </w:t>
            </w:r>
          </w:p>
        </w:tc>
      </w:tr>
      <w:tr w:rsidR="00680B4A" w:rsidRPr="00B4431C" w:rsidTr="002B1436">
        <w:tc>
          <w:tcPr>
            <w:tcW w:w="1250"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sidRPr="00EB1848">
              <w:rPr>
                <w:rFonts w:eastAsia="Times New Roman" w:cs="Arial"/>
                <w:szCs w:val="24"/>
                <w:lang w:bidi="en-US"/>
              </w:rPr>
              <w:t>UK</w:t>
            </w:r>
          </w:p>
        </w:tc>
        <w:tc>
          <w:tcPr>
            <w:tcW w:w="1179"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Pr>
                <w:rFonts w:cs="Arial"/>
                <w:color w:val="000000"/>
              </w:rPr>
              <w:t>0.445</w:t>
            </w:r>
          </w:p>
        </w:tc>
        <w:tc>
          <w:tcPr>
            <w:tcW w:w="1321"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Pr>
                <w:rFonts w:cs="Arial"/>
                <w:color w:val="000000"/>
              </w:rPr>
              <w:t>0</w:t>
            </w:r>
          </w:p>
        </w:tc>
        <w:tc>
          <w:tcPr>
            <w:tcW w:w="1250" w:type="pct"/>
            <w:shd w:val="clear" w:color="auto" w:fill="auto"/>
            <w:vAlign w:val="bottom"/>
          </w:tcPr>
          <w:p w:rsidR="00680B4A" w:rsidRPr="00B4431C" w:rsidRDefault="00680B4A" w:rsidP="0066199D">
            <w:pPr>
              <w:spacing w:before="0" w:after="0" w:line="240" w:lineRule="auto"/>
              <w:rPr>
                <w:rFonts w:cs="Arial"/>
                <w:szCs w:val="24"/>
              </w:rPr>
            </w:pPr>
            <w:r>
              <w:rPr>
                <w:rFonts w:cs="Arial"/>
                <w:color w:val="000000"/>
              </w:rPr>
              <w:t>0.619</w:t>
            </w:r>
          </w:p>
        </w:tc>
      </w:tr>
      <w:tr w:rsidR="00680B4A" w:rsidRPr="00B4431C" w:rsidTr="002B1436">
        <w:tc>
          <w:tcPr>
            <w:tcW w:w="1250"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sidRPr="00EB1848">
              <w:rPr>
                <w:rFonts w:eastAsia="Times New Roman" w:cs="Arial"/>
                <w:szCs w:val="24"/>
                <w:lang w:bidi="en-US"/>
              </w:rPr>
              <w:t>USA</w:t>
            </w:r>
          </w:p>
        </w:tc>
        <w:tc>
          <w:tcPr>
            <w:tcW w:w="1179"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Pr>
                <w:rFonts w:cs="Arial"/>
                <w:color w:val="000000"/>
              </w:rPr>
              <w:t>0.6</w:t>
            </w:r>
          </w:p>
        </w:tc>
        <w:tc>
          <w:tcPr>
            <w:tcW w:w="1321"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Pr>
                <w:rFonts w:cs="Arial"/>
                <w:color w:val="000000"/>
              </w:rPr>
              <w:t>0</w:t>
            </w:r>
          </w:p>
        </w:tc>
        <w:tc>
          <w:tcPr>
            <w:tcW w:w="1250" w:type="pct"/>
            <w:shd w:val="clear" w:color="auto" w:fill="auto"/>
            <w:vAlign w:val="bottom"/>
          </w:tcPr>
          <w:p w:rsidR="00680B4A" w:rsidRPr="00B4431C" w:rsidRDefault="00680B4A" w:rsidP="0066199D">
            <w:pPr>
              <w:spacing w:before="0" w:after="0" w:line="240" w:lineRule="auto"/>
              <w:rPr>
                <w:rFonts w:cs="Arial"/>
                <w:szCs w:val="24"/>
              </w:rPr>
            </w:pPr>
            <w:r>
              <w:rPr>
                <w:rFonts w:cs="Arial"/>
                <w:color w:val="000000"/>
              </w:rPr>
              <w:t>0.319</w:t>
            </w:r>
          </w:p>
        </w:tc>
      </w:tr>
      <w:tr w:rsidR="00680B4A" w:rsidRPr="00B4431C" w:rsidTr="002B1436">
        <w:tc>
          <w:tcPr>
            <w:tcW w:w="1250"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sidRPr="00EB1848">
              <w:rPr>
                <w:rFonts w:eastAsia="Times New Roman" w:cs="Arial"/>
                <w:szCs w:val="24"/>
                <w:lang w:bidi="en-US"/>
              </w:rPr>
              <w:t>South Africa</w:t>
            </w:r>
          </w:p>
        </w:tc>
        <w:tc>
          <w:tcPr>
            <w:tcW w:w="1179"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Pr>
                <w:rFonts w:cs="Arial"/>
                <w:color w:val="000000"/>
              </w:rPr>
              <w:t>1.0</w:t>
            </w:r>
          </w:p>
        </w:tc>
        <w:tc>
          <w:tcPr>
            <w:tcW w:w="1321"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Pr>
                <w:rFonts w:cs="Arial"/>
                <w:color w:val="000000"/>
              </w:rPr>
              <w:t>0</w:t>
            </w:r>
          </w:p>
        </w:tc>
        <w:tc>
          <w:tcPr>
            <w:tcW w:w="1250" w:type="pct"/>
            <w:shd w:val="clear" w:color="auto" w:fill="auto"/>
            <w:vAlign w:val="bottom"/>
          </w:tcPr>
          <w:p w:rsidR="00680B4A" w:rsidRPr="00B4431C" w:rsidRDefault="00680B4A" w:rsidP="0066199D">
            <w:pPr>
              <w:spacing w:before="0" w:after="0" w:line="240" w:lineRule="auto"/>
              <w:rPr>
                <w:rFonts w:cs="Arial"/>
                <w:szCs w:val="24"/>
              </w:rPr>
            </w:pPr>
            <w:r>
              <w:rPr>
                <w:rFonts w:cs="Arial"/>
                <w:color w:val="000000"/>
              </w:rPr>
              <w:t>1.0</w:t>
            </w:r>
          </w:p>
        </w:tc>
      </w:tr>
      <w:tr w:rsidR="00680B4A" w:rsidRPr="00B4431C" w:rsidTr="002B1436">
        <w:tc>
          <w:tcPr>
            <w:tcW w:w="1250"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sidRPr="00EB1848">
              <w:rPr>
                <w:rFonts w:eastAsia="Times New Roman" w:cs="Arial"/>
                <w:szCs w:val="24"/>
                <w:lang w:bidi="en-US"/>
              </w:rPr>
              <w:t>Mongolia</w:t>
            </w:r>
          </w:p>
        </w:tc>
        <w:tc>
          <w:tcPr>
            <w:tcW w:w="1179"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sidRPr="00EB1848">
              <w:rPr>
                <w:rFonts w:eastAsia="Times New Roman" w:cs="Arial"/>
                <w:szCs w:val="24"/>
                <w:lang w:bidi="en-US"/>
              </w:rPr>
              <w:t>N/A</w:t>
            </w:r>
          </w:p>
        </w:tc>
        <w:tc>
          <w:tcPr>
            <w:tcW w:w="1321"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sidRPr="00EB1848">
              <w:rPr>
                <w:rFonts w:eastAsia="Times New Roman" w:cs="Arial"/>
                <w:szCs w:val="24"/>
                <w:lang w:bidi="en-US"/>
              </w:rPr>
              <w:t>N/A</w:t>
            </w:r>
          </w:p>
        </w:tc>
        <w:tc>
          <w:tcPr>
            <w:tcW w:w="1250" w:type="pct"/>
            <w:shd w:val="clear" w:color="auto" w:fill="auto"/>
          </w:tcPr>
          <w:p w:rsidR="00680B4A" w:rsidRPr="00B4431C" w:rsidRDefault="00680B4A" w:rsidP="0066199D">
            <w:pPr>
              <w:spacing w:before="0" w:after="0" w:line="240" w:lineRule="auto"/>
              <w:rPr>
                <w:rFonts w:cs="Arial"/>
                <w:szCs w:val="24"/>
              </w:rPr>
            </w:pPr>
            <w:r>
              <w:rPr>
                <w:rFonts w:cs="Arial"/>
                <w:szCs w:val="24"/>
              </w:rPr>
              <w:t>N/A</w:t>
            </w:r>
          </w:p>
        </w:tc>
      </w:tr>
    </w:tbl>
    <w:p w:rsidR="00680B4A" w:rsidRPr="00C76B98" w:rsidRDefault="00FC7F04" w:rsidP="002B1436">
      <w:pPr>
        <w:pStyle w:val="Caption"/>
        <w:rPr>
          <w:rFonts w:cs="Arial"/>
          <w:color w:val="000000"/>
        </w:rPr>
      </w:pPr>
      <w:bookmarkStart w:id="338" w:name="_Ref380505162"/>
      <w:bookmarkStart w:id="339" w:name="_Ref380505158"/>
      <w:r w:rsidRPr="002B1436">
        <w:rPr>
          <w:highlight w:val="yellow"/>
        </w:rPr>
        <w:t xml:space="preserve">Table </w:t>
      </w:r>
      <w:r w:rsidRPr="002B1436">
        <w:rPr>
          <w:highlight w:val="yellow"/>
        </w:rPr>
        <w:fldChar w:fldCharType="begin"/>
      </w:r>
      <w:r w:rsidRPr="002B1436">
        <w:rPr>
          <w:highlight w:val="yellow"/>
        </w:rPr>
        <w:instrText xml:space="preserve"> SEQ Table \* ARABIC </w:instrText>
      </w:r>
      <w:r w:rsidRPr="002B1436">
        <w:rPr>
          <w:highlight w:val="yellow"/>
        </w:rPr>
        <w:fldChar w:fldCharType="separate"/>
      </w:r>
      <w:r w:rsidR="005D6D80" w:rsidRPr="002B1436">
        <w:rPr>
          <w:noProof/>
          <w:highlight w:val="yellow"/>
        </w:rPr>
        <w:t>7</w:t>
      </w:r>
      <w:r w:rsidRPr="002B1436">
        <w:rPr>
          <w:highlight w:val="yellow"/>
        </w:rPr>
        <w:fldChar w:fldCharType="end"/>
      </w:r>
      <w:bookmarkEnd w:id="338"/>
      <w:r w:rsidRPr="002B1436">
        <w:rPr>
          <w:highlight w:val="yellow"/>
        </w:rPr>
        <w:t xml:space="preserve"> - Geographical breakdown of Scope 1 and Scope 2 emissions</w:t>
      </w:r>
      <w:bookmarkEnd w:id="3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324"/>
        <w:gridCol w:w="2603"/>
        <w:gridCol w:w="2464"/>
      </w:tblGrid>
      <w:tr w:rsidR="00680B4A" w:rsidRPr="00B4431C" w:rsidTr="0066199D">
        <w:tc>
          <w:tcPr>
            <w:tcW w:w="1250" w:type="pct"/>
            <w:shd w:val="clear" w:color="auto" w:fill="auto"/>
          </w:tcPr>
          <w:p w:rsidR="00680B4A" w:rsidRPr="00B4431C" w:rsidRDefault="00680B4A" w:rsidP="0066199D">
            <w:pPr>
              <w:spacing w:before="0" w:after="0" w:line="240" w:lineRule="auto"/>
              <w:jc w:val="center"/>
              <w:rPr>
                <w:rFonts w:cs="Arial"/>
                <w:szCs w:val="24"/>
              </w:rPr>
            </w:pPr>
            <w:r w:rsidRPr="00B4431C">
              <w:rPr>
                <w:rFonts w:cs="Arial"/>
                <w:szCs w:val="24"/>
              </w:rPr>
              <w:t>2013-2014</w:t>
            </w:r>
          </w:p>
        </w:tc>
        <w:tc>
          <w:tcPr>
            <w:tcW w:w="3750" w:type="pct"/>
            <w:gridSpan w:val="3"/>
            <w:shd w:val="clear" w:color="auto" w:fill="auto"/>
          </w:tcPr>
          <w:p w:rsidR="00680B4A" w:rsidRPr="00B4431C" w:rsidRDefault="00680B4A" w:rsidP="0066199D">
            <w:pPr>
              <w:spacing w:before="0" w:after="0" w:line="240" w:lineRule="auto"/>
              <w:jc w:val="center"/>
              <w:rPr>
                <w:rFonts w:cs="Arial"/>
                <w:szCs w:val="24"/>
              </w:rPr>
            </w:pPr>
            <w:r>
              <w:rPr>
                <w:rFonts w:cs="Arial"/>
                <w:szCs w:val="24"/>
                <w:lang w:bidi="en-US"/>
              </w:rPr>
              <w:t>Tonnes of CO</w:t>
            </w:r>
            <w:r w:rsidRPr="00B4431C">
              <w:rPr>
                <w:rFonts w:cs="Arial"/>
                <w:szCs w:val="24"/>
                <w:vertAlign w:val="subscript"/>
                <w:lang w:bidi="en-US"/>
              </w:rPr>
              <w:t>2</w:t>
            </w:r>
            <w:r w:rsidRPr="00B4431C">
              <w:rPr>
                <w:rFonts w:cs="Arial"/>
                <w:szCs w:val="24"/>
                <w:lang w:bidi="en-US"/>
              </w:rPr>
              <w:t>e</w:t>
            </w:r>
          </w:p>
        </w:tc>
      </w:tr>
      <w:tr w:rsidR="00680B4A" w:rsidRPr="00B4431C" w:rsidTr="002B1436">
        <w:tc>
          <w:tcPr>
            <w:tcW w:w="1250"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p>
        </w:tc>
        <w:tc>
          <w:tcPr>
            <w:tcW w:w="1179" w:type="pct"/>
            <w:shd w:val="clear" w:color="auto" w:fill="auto"/>
          </w:tcPr>
          <w:p w:rsidR="00680B4A" w:rsidRPr="00B4431C" w:rsidRDefault="00680B4A" w:rsidP="0066199D">
            <w:pPr>
              <w:spacing w:before="0" w:after="0" w:line="240" w:lineRule="auto"/>
              <w:rPr>
                <w:rFonts w:cs="Arial"/>
                <w:szCs w:val="24"/>
              </w:rPr>
            </w:pPr>
            <w:r w:rsidRPr="00B4431C">
              <w:rPr>
                <w:rFonts w:cs="Arial"/>
                <w:szCs w:val="24"/>
              </w:rPr>
              <w:t>S1</w:t>
            </w:r>
          </w:p>
        </w:tc>
        <w:tc>
          <w:tcPr>
            <w:tcW w:w="1321" w:type="pct"/>
            <w:shd w:val="clear" w:color="auto" w:fill="auto"/>
          </w:tcPr>
          <w:p w:rsidR="00680B4A" w:rsidRPr="002B1436" w:rsidRDefault="00680B4A" w:rsidP="0066199D">
            <w:pPr>
              <w:autoSpaceDE w:val="0"/>
              <w:autoSpaceDN w:val="0"/>
              <w:adjustRightInd w:val="0"/>
              <w:spacing w:before="0" w:after="0" w:line="240" w:lineRule="auto"/>
              <w:rPr>
                <w:rFonts w:cs="Arial"/>
                <w:szCs w:val="24"/>
                <w:highlight w:val="yellow"/>
              </w:rPr>
            </w:pPr>
            <w:r w:rsidRPr="002B1436">
              <w:rPr>
                <w:rFonts w:cs="Arial"/>
                <w:szCs w:val="24"/>
                <w:highlight w:val="yellow"/>
              </w:rPr>
              <w:t>S2(location-based)</w:t>
            </w:r>
            <w:r w:rsidR="003F7294" w:rsidRPr="002B1436">
              <w:rPr>
                <w:rStyle w:val="FootnoteReference"/>
                <w:rFonts w:cs="Arial"/>
                <w:szCs w:val="24"/>
                <w:highlight w:val="yellow"/>
              </w:rPr>
              <w:t xml:space="preserve"> </w:t>
            </w:r>
            <w:r w:rsidR="003F7294" w:rsidRPr="002B1436">
              <w:rPr>
                <w:rStyle w:val="FootnoteReference"/>
                <w:rFonts w:cs="Arial"/>
                <w:szCs w:val="24"/>
                <w:highlight w:val="yellow"/>
              </w:rPr>
              <w:footnoteReference w:id="99"/>
            </w:r>
          </w:p>
        </w:tc>
        <w:tc>
          <w:tcPr>
            <w:tcW w:w="1250" w:type="pct"/>
            <w:shd w:val="clear" w:color="auto" w:fill="auto"/>
          </w:tcPr>
          <w:p w:rsidR="00680B4A" w:rsidRPr="002B1436" w:rsidRDefault="00680B4A" w:rsidP="0066199D">
            <w:pPr>
              <w:spacing w:before="0" w:after="0" w:line="240" w:lineRule="auto"/>
              <w:rPr>
                <w:rFonts w:cs="Arial"/>
                <w:szCs w:val="24"/>
                <w:highlight w:val="yellow"/>
              </w:rPr>
            </w:pPr>
            <w:r w:rsidRPr="002B1436">
              <w:rPr>
                <w:rFonts w:cs="Arial"/>
                <w:szCs w:val="24"/>
                <w:highlight w:val="yellow"/>
              </w:rPr>
              <w:t>S2(market-based)</w:t>
            </w:r>
            <w:r w:rsidR="003F7294" w:rsidRPr="002B1436">
              <w:rPr>
                <w:rStyle w:val="FootnoteReference"/>
                <w:rFonts w:cs="Arial"/>
                <w:szCs w:val="24"/>
                <w:highlight w:val="yellow"/>
              </w:rPr>
              <w:t xml:space="preserve"> </w:t>
            </w:r>
            <w:r w:rsidR="003F7294" w:rsidRPr="002B1436">
              <w:rPr>
                <w:rStyle w:val="FootnoteReference"/>
                <w:rFonts w:cs="Arial"/>
                <w:szCs w:val="24"/>
                <w:highlight w:val="yellow"/>
              </w:rPr>
              <w:footnoteReference w:id="100"/>
            </w:r>
            <w:r w:rsidR="003F7294" w:rsidRPr="002B1436">
              <w:rPr>
                <w:rFonts w:cs="Arial"/>
                <w:szCs w:val="24"/>
                <w:highlight w:val="yellow"/>
              </w:rPr>
              <w:t xml:space="preserve"> </w:t>
            </w:r>
            <w:r w:rsidRPr="002B1436">
              <w:rPr>
                <w:rFonts w:cs="Arial"/>
                <w:szCs w:val="24"/>
                <w:highlight w:val="yellow"/>
              </w:rPr>
              <w:t xml:space="preserve"> </w:t>
            </w:r>
          </w:p>
        </w:tc>
      </w:tr>
      <w:tr w:rsidR="00680B4A" w:rsidRPr="00B4431C" w:rsidTr="002B1436">
        <w:tc>
          <w:tcPr>
            <w:tcW w:w="1250"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sidRPr="00EB1848">
              <w:rPr>
                <w:rFonts w:eastAsia="Times New Roman" w:cs="Arial"/>
                <w:szCs w:val="24"/>
                <w:lang w:bidi="en-US"/>
              </w:rPr>
              <w:t>UK</w:t>
            </w:r>
            <w:r w:rsidR="00FC7F04">
              <w:rPr>
                <w:rFonts w:eastAsia="Times New Roman" w:cs="Arial"/>
                <w:szCs w:val="24"/>
                <w:lang w:bidi="en-US"/>
              </w:rPr>
              <w:t xml:space="preserve"> </w:t>
            </w:r>
          </w:p>
        </w:tc>
        <w:tc>
          <w:tcPr>
            <w:tcW w:w="1179"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sidRPr="00EB1848">
              <w:rPr>
                <w:rFonts w:eastAsia="Times New Roman" w:cs="Arial"/>
                <w:szCs w:val="24"/>
                <w:lang w:bidi="en-US"/>
              </w:rPr>
              <w:t>3,000</w:t>
            </w:r>
          </w:p>
        </w:tc>
        <w:tc>
          <w:tcPr>
            <w:tcW w:w="1321"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Pr>
                <w:rFonts w:cs="Arial"/>
                <w:color w:val="000000"/>
              </w:rPr>
              <w:t>5,340</w:t>
            </w:r>
          </w:p>
        </w:tc>
        <w:tc>
          <w:tcPr>
            <w:tcW w:w="1250" w:type="pct"/>
            <w:shd w:val="clear" w:color="auto" w:fill="auto"/>
            <w:vAlign w:val="bottom"/>
          </w:tcPr>
          <w:p w:rsidR="00680B4A" w:rsidRPr="00B4431C" w:rsidRDefault="00680B4A" w:rsidP="0066199D">
            <w:pPr>
              <w:spacing w:before="0" w:after="0" w:line="240" w:lineRule="auto"/>
              <w:rPr>
                <w:rFonts w:cs="Arial"/>
                <w:szCs w:val="24"/>
              </w:rPr>
            </w:pPr>
            <w:r>
              <w:rPr>
                <w:rFonts w:cs="Arial"/>
                <w:color w:val="000000"/>
              </w:rPr>
              <w:t>5,571</w:t>
            </w:r>
          </w:p>
        </w:tc>
      </w:tr>
      <w:tr w:rsidR="00680B4A" w:rsidRPr="00B4431C" w:rsidTr="002B1436">
        <w:tc>
          <w:tcPr>
            <w:tcW w:w="1250"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sidRPr="00EB1848">
              <w:rPr>
                <w:rFonts w:eastAsia="Times New Roman" w:cs="Arial"/>
                <w:szCs w:val="24"/>
                <w:lang w:bidi="en-US"/>
              </w:rPr>
              <w:t>USA</w:t>
            </w:r>
          </w:p>
        </w:tc>
        <w:tc>
          <w:tcPr>
            <w:tcW w:w="1179"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sidRPr="00EB1848">
              <w:rPr>
                <w:rFonts w:eastAsia="Times New Roman" w:cs="Arial"/>
                <w:szCs w:val="24"/>
                <w:lang w:bidi="en-US"/>
              </w:rPr>
              <w:t>11,100</w:t>
            </w:r>
          </w:p>
        </w:tc>
        <w:tc>
          <w:tcPr>
            <w:tcW w:w="1321"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Pr>
                <w:rFonts w:cs="Arial"/>
                <w:color w:val="000000"/>
              </w:rPr>
              <w:t>12,000</w:t>
            </w:r>
          </w:p>
        </w:tc>
        <w:tc>
          <w:tcPr>
            <w:tcW w:w="1250" w:type="pct"/>
            <w:shd w:val="clear" w:color="auto" w:fill="auto"/>
            <w:vAlign w:val="bottom"/>
          </w:tcPr>
          <w:p w:rsidR="00680B4A" w:rsidRPr="00B4431C" w:rsidRDefault="00680B4A" w:rsidP="0066199D">
            <w:pPr>
              <w:spacing w:before="0" w:after="0" w:line="240" w:lineRule="auto"/>
              <w:rPr>
                <w:rFonts w:cs="Arial"/>
                <w:szCs w:val="24"/>
              </w:rPr>
            </w:pPr>
            <w:r>
              <w:rPr>
                <w:rFonts w:cs="Arial"/>
                <w:color w:val="000000"/>
              </w:rPr>
              <w:t>4,785</w:t>
            </w:r>
          </w:p>
        </w:tc>
      </w:tr>
      <w:tr w:rsidR="00680B4A" w:rsidRPr="00B4431C" w:rsidTr="002B1436">
        <w:tc>
          <w:tcPr>
            <w:tcW w:w="1250"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sidRPr="00EB1848">
              <w:rPr>
                <w:rFonts w:eastAsia="Times New Roman" w:cs="Arial"/>
                <w:szCs w:val="24"/>
                <w:lang w:bidi="en-US"/>
              </w:rPr>
              <w:t>South Africa</w:t>
            </w:r>
          </w:p>
        </w:tc>
        <w:tc>
          <w:tcPr>
            <w:tcW w:w="1179"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sidRPr="00EB1848">
              <w:rPr>
                <w:rFonts w:eastAsia="Times New Roman" w:cs="Arial"/>
                <w:szCs w:val="24"/>
                <w:lang w:bidi="en-US"/>
              </w:rPr>
              <w:t>3,000</w:t>
            </w:r>
          </w:p>
        </w:tc>
        <w:tc>
          <w:tcPr>
            <w:tcW w:w="1321"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Pr>
                <w:rFonts w:cs="Arial"/>
                <w:color w:val="000000"/>
              </w:rPr>
              <w:t>3,000</w:t>
            </w:r>
          </w:p>
        </w:tc>
        <w:tc>
          <w:tcPr>
            <w:tcW w:w="1250" w:type="pct"/>
            <w:shd w:val="clear" w:color="auto" w:fill="auto"/>
            <w:vAlign w:val="bottom"/>
          </w:tcPr>
          <w:p w:rsidR="00680B4A" w:rsidRPr="00B4431C" w:rsidRDefault="00680B4A" w:rsidP="0066199D">
            <w:pPr>
              <w:spacing w:before="0" w:after="0" w:line="240" w:lineRule="auto"/>
              <w:rPr>
                <w:rFonts w:cs="Arial"/>
                <w:szCs w:val="24"/>
              </w:rPr>
            </w:pPr>
            <w:r>
              <w:rPr>
                <w:rFonts w:cs="Arial"/>
                <w:color w:val="000000"/>
              </w:rPr>
              <w:t>3,000</w:t>
            </w:r>
          </w:p>
        </w:tc>
      </w:tr>
      <w:tr w:rsidR="00680B4A" w:rsidRPr="00B4431C" w:rsidTr="002B1436">
        <w:tc>
          <w:tcPr>
            <w:tcW w:w="1250"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sidRPr="00EB1848">
              <w:rPr>
                <w:rFonts w:eastAsia="Times New Roman" w:cs="Arial"/>
                <w:szCs w:val="24"/>
                <w:lang w:bidi="en-US"/>
              </w:rPr>
              <w:t>Mongolia</w:t>
            </w:r>
          </w:p>
        </w:tc>
        <w:tc>
          <w:tcPr>
            <w:tcW w:w="1179"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sidRPr="00EB1848">
              <w:rPr>
                <w:rFonts w:eastAsia="Times New Roman" w:cs="Arial"/>
                <w:szCs w:val="24"/>
                <w:lang w:bidi="en-US"/>
              </w:rPr>
              <w:t>N/A</w:t>
            </w:r>
          </w:p>
        </w:tc>
        <w:tc>
          <w:tcPr>
            <w:tcW w:w="1321" w:type="pct"/>
            <w:shd w:val="clear" w:color="auto" w:fill="auto"/>
            <w:vAlign w:val="bottom"/>
          </w:tcPr>
          <w:p w:rsidR="00680B4A" w:rsidRPr="00EB1848" w:rsidRDefault="00680B4A" w:rsidP="0066199D">
            <w:pPr>
              <w:spacing w:before="0" w:after="0" w:line="240" w:lineRule="auto"/>
              <w:rPr>
                <w:rFonts w:eastAsia="Times New Roman" w:cs="Arial"/>
                <w:szCs w:val="24"/>
                <w:lang w:bidi="en-US"/>
              </w:rPr>
            </w:pPr>
            <w:r w:rsidRPr="00EB1848">
              <w:rPr>
                <w:rFonts w:eastAsia="Times New Roman" w:cs="Arial"/>
                <w:szCs w:val="24"/>
                <w:lang w:bidi="en-US"/>
              </w:rPr>
              <w:t>N/A</w:t>
            </w:r>
          </w:p>
        </w:tc>
        <w:tc>
          <w:tcPr>
            <w:tcW w:w="1250" w:type="pct"/>
            <w:shd w:val="clear" w:color="auto" w:fill="auto"/>
          </w:tcPr>
          <w:p w:rsidR="00680B4A" w:rsidRPr="00B4431C" w:rsidRDefault="00680B4A" w:rsidP="0066199D">
            <w:pPr>
              <w:spacing w:before="0" w:after="0" w:line="240" w:lineRule="auto"/>
              <w:rPr>
                <w:rFonts w:cs="Arial"/>
                <w:szCs w:val="24"/>
              </w:rPr>
            </w:pPr>
            <w:r>
              <w:rPr>
                <w:rFonts w:cs="Arial"/>
                <w:szCs w:val="24"/>
              </w:rPr>
              <w:t>N/A</w:t>
            </w:r>
          </w:p>
        </w:tc>
      </w:tr>
      <w:tr w:rsidR="00680B4A" w:rsidRPr="00B4431C" w:rsidTr="002B1436">
        <w:tc>
          <w:tcPr>
            <w:tcW w:w="1250" w:type="pct"/>
            <w:shd w:val="clear" w:color="auto" w:fill="D9D9D9" w:themeFill="background1" w:themeFillShade="D9"/>
            <w:vAlign w:val="bottom"/>
          </w:tcPr>
          <w:p w:rsidR="00680B4A" w:rsidRPr="00EB1848" w:rsidRDefault="00680B4A" w:rsidP="0066199D">
            <w:pPr>
              <w:spacing w:before="0" w:after="0" w:line="240" w:lineRule="auto"/>
              <w:rPr>
                <w:rFonts w:eastAsia="Times New Roman" w:cs="Arial"/>
                <w:szCs w:val="24"/>
                <w:lang w:bidi="en-US"/>
              </w:rPr>
            </w:pPr>
            <w:r>
              <w:rPr>
                <w:rFonts w:eastAsia="Times New Roman" w:cs="Arial"/>
                <w:szCs w:val="24"/>
                <w:lang w:bidi="en-US"/>
              </w:rPr>
              <w:t>TOTAL</w:t>
            </w:r>
          </w:p>
        </w:tc>
        <w:tc>
          <w:tcPr>
            <w:tcW w:w="1179" w:type="pct"/>
            <w:shd w:val="clear" w:color="auto" w:fill="D9D9D9" w:themeFill="background1" w:themeFillShade="D9"/>
            <w:vAlign w:val="bottom"/>
          </w:tcPr>
          <w:p w:rsidR="00680B4A" w:rsidRPr="00EB1848" w:rsidRDefault="00680B4A" w:rsidP="0066199D">
            <w:pPr>
              <w:spacing w:before="0" w:after="0" w:line="240" w:lineRule="auto"/>
              <w:rPr>
                <w:rFonts w:eastAsia="Times New Roman" w:cs="Arial"/>
                <w:szCs w:val="24"/>
                <w:lang w:bidi="en-US"/>
              </w:rPr>
            </w:pPr>
            <w:r w:rsidRPr="002B1436">
              <w:rPr>
                <w:rFonts w:eastAsia="Times New Roman" w:cs="Arial"/>
                <w:b/>
                <w:color w:val="00B0F0"/>
                <w:szCs w:val="24"/>
                <w:lang w:bidi="en-US"/>
              </w:rPr>
              <w:t>17,100</w:t>
            </w:r>
            <w:r w:rsidR="00DB10F0" w:rsidRPr="002B1436">
              <w:rPr>
                <w:rStyle w:val="FootnoteReference"/>
                <w:rFonts w:eastAsia="Times New Roman" w:cs="Arial"/>
                <w:szCs w:val="24"/>
                <w:lang w:bidi="en-US"/>
              </w:rPr>
              <w:footnoteReference w:id="101"/>
            </w:r>
          </w:p>
        </w:tc>
        <w:tc>
          <w:tcPr>
            <w:tcW w:w="1321" w:type="pct"/>
            <w:shd w:val="clear" w:color="auto" w:fill="D9D9D9" w:themeFill="background1" w:themeFillShade="D9"/>
            <w:vAlign w:val="bottom"/>
          </w:tcPr>
          <w:p w:rsidR="00680B4A" w:rsidRPr="00EB1848" w:rsidRDefault="00680B4A" w:rsidP="0066199D">
            <w:pPr>
              <w:spacing w:before="0" w:after="0" w:line="240" w:lineRule="auto"/>
              <w:rPr>
                <w:rFonts w:eastAsia="Times New Roman" w:cs="Arial"/>
                <w:szCs w:val="24"/>
                <w:lang w:bidi="en-US"/>
              </w:rPr>
            </w:pPr>
            <w:r w:rsidRPr="002B1436">
              <w:rPr>
                <w:rFonts w:eastAsia="Times New Roman" w:cs="Arial"/>
                <w:b/>
                <w:color w:val="E36C0A" w:themeColor="accent6" w:themeShade="BF"/>
                <w:szCs w:val="24"/>
                <w:lang w:bidi="en-US"/>
              </w:rPr>
              <w:t>20,340</w:t>
            </w:r>
          </w:p>
        </w:tc>
        <w:tc>
          <w:tcPr>
            <w:tcW w:w="1250" w:type="pct"/>
            <w:shd w:val="clear" w:color="auto" w:fill="D9D9D9" w:themeFill="background1" w:themeFillShade="D9"/>
          </w:tcPr>
          <w:p w:rsidR="00680B4A" w:rsidRDefault="00FC7F04" w:rsidP="0066199D">
            <w:pPr>
              <w:spacing w:before="0" w:after="0" w:line="240" w:lineRule="auto"/>
              <w:rPr>
                <w:rFonts w:cs="Arial"/>
                <w:szCs w:val="24"/>
              </w:rPr>
            </w:pPr>
            <w:r>
              <w:rPr>
                <w:rFonts w:cs="Arial"/>
                <w:szCs w:val="24"/>
              </w:rPr>
              <w:t>13,3</w:t>
            </w:r>
            <w:r w:rsidR="00680B4A">
              <w:rPr>
                <w:rFonts w:cs="Arial"/>
                <w:szCs w:val="24"/>
              </w:rPr>
              <w:t>56</w:t>
            </w:r>
          </w:p>
        </w:tc>
      </w:tr>
      <w:tr w:rsidR="00DF15C8" w:rsidRPr="00B4431C" w:rsidTr="002B1436">
        <w:tc>
          <w:tcPr>
            <w:tcW w:w="5000" w:type="pct"/>
            <w:gridSpan w:val="4"/>
            <w:shd w:val="clear" w:color="auto" w:fill="auto"/>
            <w:vAlign w:val="bottom"/>
          </w:tcPr>
          <w:p w:rsidR="00DF15C8" w:rsidRPr="002B1436" w:rsidRDefault="00DF15C8" w:rsidP="0066199D">
            <w:pPr>
              <w:autoSpaceDE w:val="0"/>
              <w:autoSpaceDN w:val="0"/>
              <w:adjustRightInd w:val="0"/>
              <w:spacing w:before="0" w:after="0" w:line="240" w:lineRule="auto"/>
              <w:rPr>
                <w:rFonts w:eastAsia="Times New Roman" w:cs="Arial"/>
                <w:szCs w:val="24"/>
                <w:highlight w:val="yellow"/>
                <w:lang w:bidi="en-US"/>
              </w:rPr>
            </w:pPr>
            <w:r w:rsidRPr="002B1436">
              <w:rPr>
                <w:rFonts w:eastAsia="Times New Roman" w:cs="Arial"/>
                <w:szCs w:val="24"/>
                <w:highlight w:val="yellow"/>
                <w:lang w:bidi="en-US"/>
              </w:rPr>
              <w:t>Difference in S2 emissions:</w:t>
            </w:r>
          </w:p>
          <w:p w:rsidR="00DF15C8" w:rsidRDefault="00BE13CC" w:rsidP="0066199D">
            <w:pPr>
              <w:spacing w:before="0" w:after="0" w:line="240" w:lineRule="auto"/>
              <w:rPr>
                <w:rFonts w:cs="Arial"/>
                <w:szCs w:val="24"/>
              </w:rPr>
            </w:pPr>
            <w:r w:rsidRPr="002B1436">
              <w:rPr>
                <w:rFonts w:eastAsia="Times New Roman" w:cs="Arial"/>
                <w:szCs w:val="24"/>
                <w:highlight w:val="yellow"/>
                <w:lang w:bidi="en-US"/>
              </w:rPr>
              <w:t>TOTAL</w:t>
            </w:r>
            <w:r w:rsidR="00DF15C8" w:rsidRPr="002B1436">
              <w:rPr>
                <w:rFonts w:eastAsia="Times New Roman" w:cs="Arial"/>
                <w:szCs w:val="24"/>
                <w:highlight w:val="yellow"/>
                <w:lang w:bidi="en-US"/>
              </w:rPr>
              <w:t xml:space="preserve">(location-based) – TOTAL(market-based) =  20,340 – 13,356 = </w:t>
            </w:r>
            <w:r w:rsidRPr="002B1436">
              <w:rPr>
                <w:rFonts w:eastAsia="Times New Roman" w:cs="Arial"/>
                <w:b/>
                <w:color w:val="00B050"/>
                <w:szCs w:val="24"/>
                <w:highlight w:val="yellow"/>
                <w:lang w:bidi="en-US"/>
              </w:rPr>
              <w:t>6</w:t>
            </w:r>
            <w:r w:rsidR="00031168" w:rsidRPr="002B1436">
              <w:rPr>
                <w:rFonts w:eastAsia="Times New Roman" w:cs="Arial"/>
                <w:b/>
                <w:color w:val="00B050"/>
                <w:szCs w:val="24"/>
                <w:highlight w:val="yellow"/>
                <w:lang w:bidi="en-US"/>
              </w:rPr>
              <w:t>,</w:t>
            </w:r>
            <w:r w:rsidRPr="002B1436">
              <w:rPr>
                <w:rFonts w:eastAsia="Times New Roman" w:cs="Arial"/>
                <w:b/>
                <w:color w:val="00B050"/>
                <w:szCs w:val="24"/>
                <w:highlight w:val="yellow"/>
                <w:lang w:bidi="en-US"/>
              </w:rPr>
              <w:t>984</w:t>
            </w:r>
            <w:r w:rsidRPr="002B1436">
              <w:rPr>
                <w:rFonts w:eastAsia="Times New Roman" w:cs="Arial"/>
                <w:color w:val="00B050"/>
                <w:szCs w:val="24"/>
                <w:highlight w:val="yellow"/>
                <w:lang w:bidi="en-US"/>
              </w:rPr>
              <w:t xml:space="preserve"> </w:t>
            </w:r>
            <w:r w:rsidRPr="002B1436">
              <w:rPr>
                <w:rFonts w:eastAsia="Times New Roman" w:cs="Arial"/>
                <w:szCs w:val="24"/>
                <w:highlight w:val="yellow"/>
                <w:lang w:bidi="en-US"/>
              </w:rPr>
              <w:t>tonnes CO</w:t>
            </w:r>
            <w:r w:rsidRPr="002B1436">
              <w:rPr>
                <w:rFonts w:eastAsia="Times New Roman" w:cs="Arial"/>
                <w:szCs w:val="24"/>
                <w:highlight w:val="yellow"/>
                <w:vertAlign w:val="subscript"/>
                <w:lang w:bidi="en-US"/>
              </w:rPr>
              <w:t>2</w:t>
            </w:r>
            <w:r w:rsidRPr="002B1436">
              <w:rPr>
                <w:rFonts w:eastAsia="Times New Roman" w:cs="Arial"/>
                <w:szCs w:val="24"/>
                <w:highlight w:val="yellow"/>
                <w:lang w:bidi="en-US"/>
              </w:rPr>
              <w:t>e</w:t>
            </w:r>
          </w:p>
        </w:tc>
      </w:tr>
    </w:tbl>
    <w:p w:rsidR="00680B4A" w:rsidRDefault="00FC7F04" w:rsidP="002B1436">
      <w:pPr>
        <w:pStyle w:val="Caption"/>
        <w:rPr>
          <w:rFonts w:cs="Arial"/>
          <w:color w:val="000000"/>
        </w:rPr>
      </w:pPr>
      <w:r w:rsidRPr="002B1436">
        <w:rPr>
          <w:highlight w:val="yellow"/>
        </w:rPr>
        <w:lastRenderedPageBreak/>
        <w:t xml:space="preserve">Table </w:t>
      </w:r>
      <w:r w:rsidRPr="002B1436">
        <w:rPr>
          <w:highlight w:val="yellow"/>
        </w:rPr>
        <w:fldChar w:fldCharType="begin"/>
      </w:r>
      <w:r w:rsidRPr="002B1436">
        <w:rPr>
          <w:highlight w:val="yellow"/>
        </w:rPr>
        <w:instrText xml:space="preserve"> SEQ Table \* ARABIC </w:instrText>
      </w:r>
      <w:r w:rsidRPr="002B1436">
        <w:rPr>
          <w:highlight w:val="yellow"/>
        </w:rPr>
        <w:fldChar w:fldCharType="separate"/>
      </w:r>
      <w:r w:rsidR="005D6D80" w:rsidRPr="002B1436">
        <w:rPr>
          <w:noProof/>
          <w:highlight w:val="yellow"/>
        </w:rPr>
        <w:t>8</w:t>
      </w:r>
      <w:r w:rsidRPr="002B1436">
        <w:rPr>
          <w:highlight w:val="yellow"/>
        </w:rPr>
        <w:fldChar w:fldCharType="end"/>
      </w:r>
      <w:r w:rsidRPr="002B1436">
        <w:rPr>
          <w:highlight w:val="yellow"/>
        </w:rPr>
        <w:t xml:space="preserve"> - Geographical and categorical breakdown of Scope 3 emissions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1268"/>
        <w:gridCol w:w="1272"/>
        <w:gridCol w:w="1109"/>
        <w:gridCol w:w="1327"/>
        <w:gridCol w:w="1174"/>
        <w:gridCol w:w="1292"/>
        <w:gridCol w:w="1281"/>
      </w:tblGrid>
      <w:tr w:rsidR="00680B4A" w:rsidRPr="006A6CE3" w:rsidTr="0066199D">
        <w:tc>
          <w:tcPr>
            <w:tcW w:w="9854" w:type="dxa"/>
            <w:gridSpan w:val="8"/>
            <w:vAlign w:val="center"/>
          </w:tcPr>
          <w:p w:rsidR="00680B4A" w:rsidRPr="00C76B98" w:rsidRDefault="00680B4A" w:rsidP="0066199D">
            <w:pPr>
              <w:pStyle w:val="NoSpacing"/>
              <w:jc w:val="center"/>
              <w:rPr>
                <w:rFonts w:ascii="Arial" w:hAnsi="Arial" w:cs="Arial"/>
                <w:b/>
                <w:sz w:val="24"/>
                <w:lang w:bidi="en-US"/>
              </w:rPr>
            </w:pPr>
            <w:r w:rsidRPr="00C76B98">
              <w:rPr>
                <w:rFonts w:ascii="Arial" w:hAnsi="Arial" w:cs="Arial"/>
                <w:b/>
                <w:sz w:val="24"/>
                <w:lang w:bidi="en-US"/>
              </w:rPr>
              <w:t>2013-2014 Scope 3 categories – where quantified</w:t>
            </w:r>
          </w:p>
        </w:tc>
      </w:tr>
      <w:tr w:rsidR="00680B4A" w:rsidRPr="006A6CE3" w:rsidTr="0066199D">
        <w:tc>
          <w:tcPr>
            <w:tcW w:w="1131" w:type="dxa"/>
          </w:tcPr>
          <w:p w:rsidR="00680B4A" w:rsidRPr="006A6CE3" w:rsidRDefault="00680B4A" w:rsidP="0066199D">
            <w:pPr>
              <w:pStyle w:val="NoSpacing"/>
              <w:rPr>
                <w:rFonts w:ascii="Arial" w:hAnsi="Arial" w:cs="Arial"/>
                <w:sz w:val="24"/>
                <w:lang w:bidi="en-US"/>
              </w:rPr>
            </w:pPr>
            <w:r w:rsidRPr="006A6CE3">
              <w:rPr>
                <w:rFonts w:ascii="Arial" w:hAnsi="Arial" w:cs="Arial"/>
                <w:b/>
                <w:sz w:val="24"/>
                <w:lang w:bidi="en-US"/>
              </w:rPr>
              <w:t>Tonnes CO2e</w:t>
            </w:r>
          </w:p>
        </w:tc>
        <w:tc>
          <w:tcPr>
            <w:tcW w:w="1268" w:type="dxa"/>
          </w:tcPr>
          <w:p w:rsidR="00680B4A" w:rsidRPr="006A6CE3" w:rsidRDefault="00680B4A" w:rsidP="0066199D">
            <w:pPr>
              <w:pStyle w:val="NoSpacing"/>
              <w:rPr>
                <w:rFonts w:ascii="Arial" w:hAnsi="Arial" w:cs="Arial"/>
                <w:sz w:val="22"/>
                <w:lang w:bidi="en-US"/>
              </w:rPr>
            </w:pPr>
            <w:r w:rsidRPr="006A6CE3">
              <w:rPr>
                <w:rFonts w:ascii="Arial" w:hAnsi="Arial" w:cs="Arial"/>
                <w:color w:val="000000"/>
                <w:sz w:val="22"/>
                <w:lang w:bidi="en-US"/>
              </w:rPr>
              <w:t>Purchased goods &amp; services</w:t>
            </w:r>
          </w:p>
        </w:tc>
        <w:tc>
          <w:tcPr>
            <w:tcW w:w="1272" w:type="dxa"/>
          </w:tcPr>
          <w:p w:rsidR="00680B4A" w:rsidRPr="006A6CE3" w:rsidRDefault="00680B4A" w:rsidP="0066199D">
            <w:pPr>
              <w:pStyle w:val="NoSpacing"/>
              <w:rPr>
                <w:rFonts w:ascii="Arial" w:hAnsi="Arial" w:cs="Arial"/>
                <w:sz w:val="22"/>
                <w:lang w:bidi="en-US"/>
              </w:rPr>
            </w:pPr>
            <w:r w:rsidRPr="006A6CE3">
              <w:rPr>
                <w:rFonts w:ascii="Arial" w:hAnsi="Arial" w:cs="Arial"/>
                <w:color w:val="000000"/>
                <w:sz w:val="22"/>
                <w:lang w:bidi="en-US"/>
              </w:rPr>
              <w:t>Waste generated in operations</w:t>
            </w:r>
          </w:p>
        </w:tc>
        <w:tc>
          <w:tcPr>
            <w:tcW w:w="1109" w:type="dxa"/>
          </w:tcPr>
          <w:p w:rsidR="00680B4A" w:rsidRPr="006A6CE3" w:rsidRDefault="00680B4A" w:rsidP="0066199D">
            <w:pPr>
              <w:pStyle w:val="NoSpacing"/>
              <w:rPr>
                <w:rFonts w:ascii="Arial" w:hAnsi="Arial" w:cs="Arial"/>
                <w:sz w:val="22"/>
                <w:lang w:bidi="en-US"/>
              </w:rPr>
            </w:pPr>
            <w:r w:rsidRPr="006A6CE3">
              <w:rPr>
                <w:rFonts w:ascii="Arial" w:hAnsi="Arial" w:cs="Arial"/>
                <w:sz w:val="22"/>
                <w:lang w:bidi="en-US"/>
              </w:rPr>
              <w:t>Business travel</w:t>
            </w:r>
          </w:p>
        </w:tc>
        <w:tc>
          <w:tcPr>
            <w:tcW w:w="1327" w:type="dxa"/>
          </w:tcPr>
          <w:p w:rsidR="00680B4A" w:rsidRPr="006A6CE3" w:rsidRDefault="00680B4A" w:rsidP="0066199D">
            <w:pPr>
              <w:pStyle w:val="NoSpacing"/>
              <w:rPr>
                <w:rFonts w:ascii="Arial" w:hAnsi="Arial" w:cs="Arial"/>
                <w:sz w:val="22"/>
                <w:lang w:bidi="en-US"/>
              </w:rPr>
            </w:pPr>
            <w:r w:rsidRPr="006A6CE3">
              <w:rPr>
                <w:rFonts w:ascii="Arial" w:hAnsi="Arial" w:cs="Arial"/>
                <w:sz w:val="22"/>
                <w:lang w:bidi="en-US"/>
              </w:rPr>
              <w:t>Employee commuting</w:t>
            </w:r>
          </w:p>
        </w:tc>
        <w:tc>
          <w:tcPr>
            <w:tcW w:w="1174" w:type="dxa"/>
          </w:tcPr>
          <w:p w:rsidR="00680B4A" w:rsidRPr="006A6CE3" w:rsidRDefault="00680B4A" w:rsidP="0066199D">
            <w:pPr>
              <w:pStyle w:val="NoSpacing"/>
              <w:rPr>
                <w:rFonts w:ascii="Arial" w:hAnsi="Arial" w:cs="Arial"/>
                <w:sz w:val="22"/>
                <w:lang w:bidi="en-US"/>
              </w:rPr>
            </w:pPr>
            <w:r w:rsidRPr="006A6CE3">
              <w:rPr>
                <w:rFonts w:ascii="Arial" w:hAnsi="Arial" w:cs="Arial"/>
                <w:sz w:val="22"/>
                <w:lang w:bidi="en-US"/>
              </w:rPr>
              <w:t>Upstream leased assets</w:t>
            </w:r>
          </w:p>
        </w:tc>
        <w:tc>
          <w:tcPr>
            <w:tcW w:w="1292" w:type="dxa"/>
          </w:tcPr>
          <w:p w:rsidR="00680B4A" w:rsidRPr="006A6CE3" w:rsidRDefault="00680B4A" w:rsidP="0066199D">
            <w:pPr>
              <w:pStyle w:val="NoSpacing"/>
              <w:rPr>
                <w:rFonts w:ascii="Arial" w:hAnsi="Arial" w:cs="Arial"/>
                <w:sz w:val="22"/>
                <w:lang w:bidi="en-US"/>
              </w:rPr>
            </w:pPr>
            <w:r w:rsidRPr="006A6CE3">
              <w:rPr>
                <w:rFonts w:ascii="Arial" w:hAnsi="Arial" w:cs="Arial"/>
                <w:sz w:val="22"/>
                <w:lang w:bidi="en-US"/>
              </w:rPr>
              <w:t>Franchises</w:t>
            </w:r>
          </w:p>
        </w:tc>
        <w:tc>
          <w:tcPr>
            <w:tcW w:w="1281" w:type="dxa"/>
            <w:shd w:val="clear" w:color="auto" w:fill="D9D9D9" w:themeFill="background1" w:themeFillShade="D9"/>
          </w:tcPr>
          <w:p w:rsidR="00680B4A" w:rsidRPr="00C76B98" w:rsidRDefault="00680B4A" w:rsidP="0066199D">
            <w:pPr>
              <w:pStyle w:val="NoSpacing"/>
              <w:rPr>
                <w:rFonts w:ascii="Arial" w:hAnsi="Arial" w:cs="Arial"/>
                <w:b/>
                <w:sz w:val="22"/>
                <w:lang w:bidi="en-US"/>
              </w:rPr>
            </w:pPr>
            <w:r w:rsidRPr="00C76B98">
              <w:rPr>
                <w:rFonts w:ascii="Arial" w:hAnsi="Arial" w:cs="Arial"/>
                <w:b/>
                <w:sz w:val="22"/>
                <w:lang w:bidi="en-US"/>
              </w:rPr>
              <w:t>Total</w:t>
            </w:r>
          </w:p>
        </w:tc>
      </w:tr>
      <w:tr w:rsidR="00680B4A" w:rsidRPr="006A6CE3" w:rsidTr="0066199D">
        <w:tc>
          <w:tcPr>
            <w:tcW w:w="1131" w:type="dxa"/>
            <w:vAlign w:val="center"/>
          </w:tcPr>
          <w:p w:rsidR="00680B4A" w:rsidRPr="006A6CE3" w:rsidRDefault="00680B4A" w:rsidP="0066199D">
            <w:pPr>
              <w:pStyle w:val="NoSpacing"/>
              <w:rPr>
                <w:rFonts w:ascii="Arial" w:hAnsi="Arial" w:cs="Arial"/>
                <w:sz w:val="22"/>
                <w:lang w:bidi="en-US"/>
              </w:rPr>
            </w:pPr>
            <w:r w:rsidRPr="006A6CE3">
              <w:rPr>
                <w:rFonts w:ascii="Arial" w:hAnsi="Arial" w:cs="Arial"/>
                <w:sz w:val="22"/>
                <w:lang w:bidi="en-US"/>
              </w:rPr>
              <w:t>UK</w:t>
            </w:r>
          </w:p>
        </w:tc>
        <w:tc>
          <w:tcPr>
            <w:tcW w:w="1268" w:type="dxa"/>
            <w:vAlign w:val="center"/>
          </w:tcPr>
          <w:p w:rsidR="00680B4A" w:rsidRPr="006A6CE3" w:rsidRDefault="00680B4A" w:rsidP="0066199D">
            <w:pPr>
              <w:pStyle w:val="NoSpacing"/>
              <w:rPr>
                <w:rFonts w:ascii="Arial" w:hAnsi="Arial" w:cs="Arial"/>
                <w:sz w:val="24"/>
                <w:lang w:bidi="en-US"/>
              </w:rPr>
            </w:pPr>
            <w:r w:rsidRPr="006A6CE3">
              <w:rPr>
                <w:rFonts w:ascii="Arial" w:hAnsi="Arial" w:cs="Arial"/>
                <w:sz w:val="24"/>
                <w:lang w:bidi="en-US"/>
              </w:rPr>
              <w:t>12,000</w:t>
            </w:r>
          </w:p>
        </w:tc>
        <w:tc>
          <w:tcPr>
            <w:tcW w:w="1272" w:type="dxa"/>
            <w:vAlign w:val="center"/>
          </w:tcPr>
          <w:p w:rsidR="00680B4A" w:rsidRPr="006A6CE3" w:rsidRDefault="00680B4A" w:rsidP="0066199D">
            <w:pPr>
              <w:pStyle w:val="NoSpacing"/>
              <w:rPr>
                <w:rFonts w:ascii="Arial" w:hAnsi="Arial" w:cs="Arial"/>
                <w:sz w:val="24"/>
                <w:lang w:bidi="en-US"/>
              </w:rPr>
            </w:pPr>
            <w:r w:rsidRPr="006A6CE3">
              <w:rPr>
                <w:rFonts w:ascii="Arial" w:hAnsi="Arial" w:cs="Arial"/>
                <w:sz w:val="24"/>
                <w:lang w:bidi="en-US"/>
              </w:rPr>
              <w:t>1,000</w:t>
            </w:r>
          </w:p>
        </w:tc>
        <w:tc>
          <w:tcPr>
            <w:tcW w:w="1109" w:type="dxa"/>
            <w:vAlign w:val="center"/>
          </w:tcPr>
          <w:p w:rsidR="00680B4A" w:rsidRPr="006A6CE3" w:rsidRDefault="00680B4A" w:rsidP="0066199D">
            <w:pPr>
              <w:pStyle w:val="NoSpacing"/>
              <w:rPr>
                <w:rFonts w:ascii="Arial" w:hAnsi="Arial" w:cs="Arial"/>
                <w:sz w:val="24"/>
                <w:lang w:bidi="en-US"/>
              </w:rPr>
            </w:pPr>
            <w:r w:rsidRPr="006A6CE3">
              <w:rPr>
                <w:rFonts w:ascii="Arial" w:hAnsi="Arial" w:cs="Arial"/>
                <w:sz w:val="24"/>
                <w:lang w:bidi="en-US"/>
              </w:rPr>
              <w:t>500</w:t>
            </w:r>
          </w:p>
        </w:tc>
        <w:tc>
          <w:tcPr>
            <w:tcW w:w="1327" w:type="dxa"/>
            <w:vAlign w:val="center"/>
          </w:tcPr>
          <w:p w:rsidR="00680B4A" w:rsidRPr="006A6CE3" w:rsidRDefault="00680B4A" w:rsidP="0066199D">
            <w:pPr>
              <w:pStyle w:val="NoSpacing"/>
              <w:rPr>
                <w:rFonts w:ascii="Arial" w:hAnsi="Arial" w:cs="Arial"/>
                <w:sz w:val="24"/>
                <w:lang w:bidi="en-US"/>
              </w:rPr>
            </w:pPr>
            <w:r w:rsidRPr="006A6CE3">
              <w:rPr>
                <w:rFonts w:ascii="Arial" w:hAnsi="Arial" w:cs="Arial"/>
                <w:sz w:val="24"/>
                <w:lang w:bidi="en-US"/>
              </w:rPr>
              <w:t>Not known</w:t>
            </w:r>
          </w:p>
        </w:tc>
        <w:tc>
          <w:tcPr>
            <w:tcW w:w="1174" w:type="dxa"/>
            <w:vAlign w:val="center"/>
          </w:tcPr>
          <w:p w:rsidR="00680B4A" w:rsidRPr="006A6CE3" w:rsidRDefault="00680B4A" w:rsidP="0066199D">
            <w:pPr>
              <w:pStyle w:val="NoSpacing"/>
              <w:rPr>
                <w:rFonts w:ascii="Arial" w:hAnsi="Arial" w:cs="Arial"/>
                <w:sz w:val="24"/>
                <w:lang w:bidi="en-US"/>
              </w:rPr>
            </w:pPr>
            <w:r w:rsidRPr="006A6CE3">
              <w:rPr>
                <w:rFonts w:ascii="Arial" w:hAnsi="Arial" w:cs="Arial"/>
                <w:sz w:val="24"/>
                <w:lang w:bidi="en-US"/>
              </w:rPr>
              <w:t>1,500</w:t>
            </w:r>
          </w:p>
        </w:tc>
        <w:tc>
          <w:tcPr>
            <w:tcW w:w="1292" w:type="dxa"/>
            <w:vAlign w:val="center"/>
          </w:tcPr>
          <w:p w:rsidR="00680B4A" w:rsidRPr="006A6CE3" w:rsidRDefault="00680B4A" w:rsidP="0066199D">
            <w:pPr>
              <w:pStyle w:val="NoSpacing"/>
              <w:rPr>
                <w:rFonts w:ascii="Arial" w:hAnsi="Arial" w:cs="Arial"/>
                <w:sz w:val="24"/>
                <w:lang w:bidi="en-US"/>
              </w:rPr>
            </w:pPr>
            <w:r w:rsidRPr="006A6CE3">
              <w:rPr>
                <w:rFonts w:ascii="Arial" w:hAnsi="Arial" w:cs="Arial"/>
                <w:sz w:val="24"/>
                <w:lang w:bidi="en-US"/>
              </w:rPr>
              <w:t>6,000</w:t>
            </w:r>
          </w:p>
        </w:tc>
        <w:tc>
          <w:tcPr>
            <w:tcW w:w="1281" w:type="dxa"/>
            <w:shd w:val="clear" w:color="auto" w:fill="D9D9D9" w:themeFill="background1" w:themeFillShade="D9"/>
            <w:vAlign w:val="center"/>
          </w:tcPr>
          <w:p w:rsidR="00680B4A" w:rsidRPr="00666499" w:rsidRDefault="00680B4A" w:rsidP="0066199D">
            <w:pPr>
              <w:pStyle w:val="NoSpacing"/>
              <w:rPr>
                <w:rFonts w:ascii="Arial" w:hAnsi="Arial" w:cs="Arial"/>
                <w:sz w:val="24"/>
                <w:lang w:bidi="en-US"/>
              </w:rPr>
            </w:pPr>
            <w:r w:rsidRPr="00666499">
              <w:rPr>
                <w:rFonts w:ascii="Arial" w:hAnsi="Arial" w:cs="Arial"/>
                <w:sz w:val="24"/>
                <w:lang w:bidi="en-US"/>
              </w:rPr>
              <w:t>21,000</w:t>
            </w:r>
          </w:p>
          <w:p w:rsidR="00680B4A" w:rsidRPr="006A6CE3" w:rsidRDefault="00680B4A" w:rsidP="0066199D">
            <w:pPr>
              <w:pStyle w:val="NoSpacing"/>
              <w:rPr>
                <w:rFonts w:ascii="Arial" w:hAnsi="Arial" w:cs="Arial"/>
                <w:sz w:val="24"/>
                <w:lang w:bidi="en-US"/>
              </w:rPr>
            </w:pPr>
          </w:p>
        </w:tc>
      </w:tr>
      <w:tr w:rsidR="00680B4A" w:rsidRPr="006A6CE3" w:rsidTr="0066199D">
        <w:tc>
          <w:tcPr>
            <w:tcW w:w="1131" w:type="dxa"/>
            <w:vAlign w:val="center"/>
          </w:tcPr>
          <w:p w:rsidR="00680B4A" w:rsidRPr="006A6CE3" w:rsidRDefault="00680B4A" w:rsidP="0066199D">
            <w:pPr>
              <w:pStyle w:val="NoSpacing"/>
              <w:rPr>
                <w:rFonts w:ascii="Arial" w:hAnsi="Arial" w:cs="Arial"/>
                <w:sz w:val="22"/>
                <w:lang w:bidi="en-US"/>
              </w:rPr>
            </w:pPr>
            <w:r w:rsidRPr="006A6CE3">
              <w:rPr>
                <w:rFonts w:ascii="Arial" w:hAnsi="Arial" w:cs="Arial"/>
                <w:sz w:val="22"/>
                <w:lang w:bidi="en-US"/>
              </w:rPr>
              <w:t>USA</w:t>
            </w:r>
          </w:p>
        </w:tc>
        <w:tc>
          <w:tcPr>
            <w:tcW w:w="1268" w:type="dxa"/>
            <w:vAlign w:val="center"/>
          </w:tcPr>
          <w:p w:rsidR="00680B4A" w:rsidRPr="006A6CE3" w:rsidRDefault="00680B4A" w:rsidP="0066199D">
            <w:pPr>
              <w:pStyle w:val="NoSpacing"/>
              <w:rPr>
                <w:rFonts w:ascii="Arial" w:hAnsi="Arial" w:cs="Arial"/>
                <w:sz w:val="24"/>
                <w:lang w:bidi="en-US"/>
              </w:rPr>
            </w:pPr>
            <w:r w:rsidRPr="006A6CE3">
              <w:rPr>
                <w:rFonts w:ascii="Arial" w:hAnsi="Arial" w:cs="Arial"/>
                <w:sz w:val="24"/>
                <w:lang w:bidi="en-US"/>
              </w:rPr>
              <w:t>15,000</w:t>
            </w:r>
          </w:p>
        </w:tc>
        <w:tc>
          <w:tcPr>
            <w:tcW w:w="1272" w:type="dxa"/>
            <w:vAlign w:val="center"/>
          </w:tcPr>
          <w:p w:rsidR="00680B4A" w:rsidRPr="006A6CE3" w:rsidRDefault="00680B4A" w:rsidP="0066199D">
            <w:pPr>
              <w:pStyle w:val="NoSpacing"/>
              <w:rPr>
                <w:rFonts w:ascii="Arial" w:hAnsi="Arial" w:cs="Arial"/>
                <w:sz w:val="24"/>
                <w:lang w:bidi="en-US"/>
              </w:rPr>
            </w:pPr>
            <w:r w:rsidRPr="006A6CE3">
              <w:rPr>
                <w:rFonts w:ascii="Arial" w:hAnsi="Arial" w:cs="Arial"/>
                <w:sz w:val="24"/>
                <w:lang w:bidi="en-US"/>
              </w:rPr>
              <w:t>1,000</w:t>
            </w:r>
          </w:p>
        </w:tc>
        <w:tc>
          <w:tcPr>
            <w:tcW w:w="1109" w:type="dxa"/>
            <w:vAlign w:val="center"/>
          </w:tcPr>
          <w:p w:rsidR="00680B4A" w:rsidRPr="006A6CE3" w:rsidRDefault="00680B4A" w:rsidP="0066199D">
            <w:pPr>
              <w:pStyle w:val="NoSpacing"/>
              <w:rPr>
                <w:rFonts w:ascii="Arial" w:hAnsi="Arial" w:cs="Arial"/>
                <w:sz w:val="24"/>
                <w:lang w:bidi="en-US"/>
              </w:rPr>
            </w:pPr>
            <w:r w:rsidRPr="006A6CE3">
              <w:rPr>
                <w:rFonts w:ascii="Arial" w:hAnsi="Arial" w:cs="Arial"/>
                <w:sz w:val="24"/>
                <w:lang w:bidi="en-US"/>
              </w:rPr>
              <w:t>690</w:t>
            </w:r>
          </w:p>
        </w:tc>
        <w:tc>
          <w:tcPr>
            <w:tcW w:w="1327" w:type="dxa"/>
            <w:vAlign w:val="center"/>
          </w:tcPr>
          <w:p w:rsidR="00680B4A" w:rsidRPr="006A6CE3" w:rsidRDefault="00680B4A" w:rsidP="0066199D">
            <w:pPr>
              <w:pStyle w:val="NoSpacing"/>
              <w:rPr>
                <w:rFonts w:ascii="Arial" w:hAnsi="Arial" w:cs="Arial"/>
                <w:sz w:val="24"/>
                <w:lang w:bidi="en-US"/>
              </w:rPr>
            </w:pPr>
            <w:r w:rsidRPr="006A6CE3">
              <w:rPr>
                <w:rFonts w:ascii="Arial" w:hAnsi="Arial" w:cs="Arial"/>
                <w:sz w:val="24"/>
                <w:lang w:bidi="en-US"/>
              </w:rPr>
              <w:t>Not known</w:t>
            </w:r>
          </w:p>
        </w:tc>
        <w:tc>
          <w:tcPr>
            <w:tcW w:w="1174" w:type="dxa"/>
            <w:vAlign w:val="center"/>
          </w:tcPr>
          <w:p w:rsidR="00680B4A" w:rsidRPr="006A6CE3" w:rsidRDefault="00680B4A" w:rsidP="0066199D">
            <w:pPr>
              <w:pStyle w:val="NoSpacing"/>
              <w:rPr>
                <w:rFonts w:ascii="Arial" w:hAnsi="Arial" w:cs="Arial"/>
                <w:sz w:val="24"/>
                <w:lang w:bidi="en-US"/>
              </w:rPr>
            </w:pPr>
            <w:r w:rsidRPr="006A6CE3">
              <w:rPr>
                <w:rFonts w:ascii="Arial" w:hAnsi="Arial" w:cs="Arial"/>
                <w:sz w:val="24"/>
                <w:lang w:bidi="en-US"/>
              </w:rPr>
              <w:t>2,000</w:t>
            </w:r>
          </w:p>
        </w:tc>
        <w:tc>
          <w:tcPr>
            <w:tcW w:w="1292" w:type="dxa"/>
            <w:vAlign w:val="center"/>
          </w:tcPr>
          <w:p w:rsidR="00680B4A" w:rsidRPr="006A6CE3" w:rsidRDefault="00680B4A" w:rsidP="0066199D">
            <w:pPr>
              <w:pStyle w:val="NoSpacing"/>
              <w:rPr>
                <w:rFonts w:ascii="Arial" w:hAnsi="Arial" w:cs="Arial"/>
                <w:sz w:val="24"/>
                <w:lang w:bidi="en-US"/>
              </w:rPr>
            </w:pPr>
            <w:r w:rsidRPr="006A6CE3">
              <w:rPr>
                <w:rFonts w:ascii="Arial" w:hAnsi="Arial" w:cs="Arial"/>
                <w:sz w:val="24"/>
                <w:lang w:bidi="en-US"/>
              </w:rPr>
              <w:t>7,000</w:t>
            </w:r>
          </w:p>
        </w:tc>
        <w:tc>
          <w:tcPr>
            <w:tcW w:w="1281" w:type="dxa"/>
            <w:shd w:val="clear" w:color="auto" w:fill="D9D9D9" w:themeFill="background1" w:themeFillShade="D9"/>
            <w:vAlign w:val="center"/>
          </w:tcPr>
          <w:p w:rsidR="00680B4A" w:rsidRPr="00666499" w:rsidRDefault="00680B4A" w:rsidP="0066199D">
            <w:pPr>
              <w:pStyle w:val="NoSpacing"/>
              <w:rPr>
                <w:rFonts w:ascii="Arial" w:hAnsi="Arial" w:cs="Arial"/>
                <w:sz w:val="24"/>
                <w:lang w:bidi="en-US"/>
              </w:rPr>
            </w:pPr>
            <w:r w:rsidRPr="00666499">
              <w:rPr>
                <w:rFonts w:ascii="Arial" w:hAnsi="Arial" w:cs="Arial"/>
                <w:sz w:val="24"/>
                <w:lang w:bidi="en-US"/>
              </w:rPr>
              <w:t>25,690</w:t>
            </w:r>
          </w:p>
          <w:p w:rsidR="00680B4A" w:rsidRPr="006A6CE3" w:rsidRDefault="00680B4A" w:rsidP="0066199D">
            <w:pPr>
              <w:pStyle w:val="NoSpacing"/>
              <w:rPr>
                <w:rFonts w:ascii="Arial" w:hAnsi="Arial" w:cs="Arial"/>
                <w:sz w:val="24"/>
                <w:lang w:bidi="en-US"/>
              </w:rPr>
            </w:pPr>
          </w:p>
        </w:tc>
      </w:tr>
      <w:tr w:rsidR="00680B4A" w:rsidRPr="006A6CE3" w:rsidTr="0066199D">
        <w:tc>
          <w:tcPr>
            <w:tcW w:w="1131" w:type="dxa"/>
            <w:vAlign w:val="center"/>
          </w:tcPr>
          <w:p w:rsidR="00680B4A" w:rsidRPr="006A6CE3" w:rsidRDefault="00680B4A" w:rsidP="0066199D">
            <w:pPr>
              <w:pStyle w:val="NoSpacing"/>
              <w:rPr>
                <w:rFonts w:ascii="Arial" w:hAnsi="Arial" w:cs="Arial"/>
                <w:sz w:val="22"/>
                <w:lang w:bidi="en-US"/>
              </w:rPr>
            </w:pPr>
            <w:r w:rsidRPr="006A6CE3">
              <w:rPr>
                <w:rFonts w:ascii="Arial" w:hAnsi="Arial" w:cs="Arial"/>
                <w:sz w:val="22"/>
                <w:lang w:bidi="en-US"/>
              </w:rPr>
              <w:t>South Africa</w:t>
            </w:r>
          </w:p>
        </w:tc>
        <w:tc>
          <w:tcPr>
            <w:tcW w:w="1268" w:type="dxa"/>
            <w:vAlign w:val="center"/>
          </w:tcPr>
          <w:p w:rsidR="00680B4A" w:rsidRPr="006A6CE3" w:rsidRDefault="00680B4A" w:rsidP="0066199D">
            <w:pPr>
              <w:pStyle w:val="NoSpacing"/>
              <w:rPr>
                <w:rFonts w:ascii="Arial" w:hAnsi="Arial" w:cs="Arial"/>
                <w:sz w:val="24"/>
                <w:lang w:bidi="en-US"/>
              </w:rPr>
            </w:pPr>
            <w:r w:rsidRPr="006A6CE3">
              <w:rPr>
                <w:rFonts w:ascii="Arial" w:hAnsi="Arial" w:cs="Arial"/>
                <w:sz w:val="24"/>
                <w:lang w:bidi="en-US"/>
              </w:rPr>
              <w:t>3,000</w:t>
            </w:r>
          </w:p>
        </w:tc>
        <w:tc>
          <w:tcPr>
            <w:tcW w:w="1272" w:type="dxa"/>
            <w:vAlign w:val="center"/>
          </w:tcPr>
          <w:p w:rsidR="00680B4A" w:rsidRPr="006A6CE3" w:rsidRDefault="00680B4A" w:rsidP="0066199D">
            <w:pPr>
              <w:pStyle w:val="NoSpacing"/>
              <w:rPr>
                <w:rFonts w:ascii="Arial" w:hAnsi="Arial" w:cs="Arial"/>
                <w:sz w:val="24"/>
                <w:lang w:bidi="en-US"/>
              </w:rPr>
            </w:pPr>
            <w:r w:rsidRPr="006A6CE3">
              <w:rPr>
                <w:rFonts w:ascii="Arial" w:hAnsi="Arial" w:cs="Arial"/>
                <w:sz w:val="24"/>
                <w:lang w:bidi="en-US"/>
              </w:rPr>
              <w:t>530</w:t>
            </w:r>
          </w:p>
        </w:tc>
        <w:tc>
          <w:tcPr>
            <w:tcW w:w="1109" w:type="dxa"/>
            <w:vAlign w:val="center"/>
          </w:tcPr>
          <w:p w:rsidR="00680B4A" w:rsidRPr="006A6CE3" w:rsidRDefault="00680B4A" w:rsidP="0066199D">
            <w:pPr>
              <w:pStyle w:val="NoSpacing"/>
              <w:rPr>
                <w:rFonts w:ascii="Arial" w:hAnsi="Arial" w:cs="Arial"/>
                <w:sz w:val="24"/>
                <w:lang w:bidi="en-US"/>
              </w:rPr>
            </w:pPr>
            <w:r w:rsidRPr="006A6CE3">
              <w:rPr>
                <w:rFonts w:ascii="Arial" w:hAnsi="Arial" w:cs="Arial"/>
                <w:sz w:val="24"/>
                <w:lang w:bidi="en-US"/>
              </w:rPr>
              <w:t>5,000</w:t>
            </w:r>
          </w:p>
        </w:tc>
        <w:tc>
          <w:tcPr>
            <w:tcW w:w="1327" w:type="dxa"/>
            <w:vAlign w:val="center"/>
          </w:tcPr>
          <w:p w:rsidR="00680B4A" w:rsidRPr="006A6CE3" w:rsidRDefault="00680B4A" w:rsidP="0066199D">
            <w:pPr>
              <w:pStyle w:val="NoSpacing"/>
              <w:rPr>
                <w:rFonts w:ascii="Arial" w:hAnsi="Arial" w:cs="Arial"/>
                <w:sz w:val="24"/>
                <w:lang w:bidi="en-US"/>
              </w:rPr>
            </w:pPr>
            <w:r w:rsidRPr="006A6CE3">
              <w:rPr>
                <w:rFonts w:ascii="Arial" w:hAnsi="Arial" w:cs="Arial"/>
                <w:sz w:val="24"/>
                <w:lang w:bidi="en-US"/>
              </w:rPr>
              <w:t>690</w:t>
            </w:r>
          </w:p>
        </w:tc>
        <w:tc>
          <w:tcPr>
            <w:tcW w:w="1174" w:type="dxa"/>
            <w:vAlign w:val="center"/>
          </w:tcPr>
          <w:p w:rsidR="00680B4A" w:rsidRPr="006A6CE3" w:rsidRDefault="00680B4A" w:rsidP="0066199D">
            <w:pPr>
              <w:pStyle w:val="NoSpacing"/>
              <w:rPr>
                <w:rFonts w:ascii="Arial" w:hAnsi="Arial" w:cs="Arial"/>
                <w:sz w:val="24"/>
                <w:lang w:bidi="en-US"/>
              </w:rPr>
            </w:pPr>
            <w:r w:rsidRPr="006A6CE3">
              <w:rPr>
                <w:rFonts w:ascii="Arial" w:hAnsi="Arial" w:cs="Arial"/>
                <w:sz w:val="24"/>
                <w:lang w:bidi="en-US"/>
              </w:rPr>
              <w:t>1,000</w:t>
            </w:r>
          </w:p>
        </w:tc>
        <w:tc>
          <w:tcPr>
            <w:tcW w:w="1292" w:type="dxa"/>
            <w:vAlign w:val="center"/>
          </w:tcPr>
          <w:p w:rsidR="00680B4A" w:rsidRPr="006A6CE3" w:rsidRDefault="00680B4A" w:rsidP="0066199D">
            <w:pPr>
              <w:pStyle w:val="NoSpacing"/>
              <w:rPr>
                <w:rFonts w:ascii="Arial" w:hAnsi="Arial" w:cs="Arial"/>
                <w:sz w:val="24"/>
                <w:lang w:bidi="en-US"/>
              </w:rPr>
            </w:pPr>
            <w:r w:rsidRPr="006A6CE3">
              <w:rPr>
                <w:rFonts w:ascii="Arial" w:hAnsi="Arial" w:cs="Arial"/>
                <w:sz w:val="24"/>
                <w:lang w:bidi="en-US"/>
              </w:rPr>
              <w:t>1,000</w:t>
            </w:r>
          </w:p>
        </w:tc>
        <w:tc>
          <w:tcPr>
            <w:tcW w:w="1281" w:type="dxa"/>
            <w:shd w:val="clear" w:color="auto" w:fill="D9D9D9" w:themeFill="background1" w:themeFillShade="D9"/>
            <w:vAlign w:val="center"/>
          </w:tcPr>
          <w:p w:rsidR="00680B4A" w:rsidRPr="00666499" w:rsidRDefault="00680B4A" w:rsidP="0066199D">
            <w:pPr>
              <w:pStyle w:val="NoSpacing"/>
              <w:rPr>
                <w:rFonts w:ascii="Arial" w:hAnsi="Arial" w:cs="Arial"/>
                <w:sz w:val="24"/>
                <w:lang w:bidi="en-US"/>
              </w:rPr>
            </w:pPr>
            <w:r w:rsidRPr="00666499">
              <w:rPr>
                <w:rFonts w:ascii="Arial" w:hAnsi="Arial" w:cs="Arial"/>
                <w:sz w:val="24"/>
                <w:lang w:bidi="en-US"/>
              </w:rPr>
              <w:t>11,220</w:t>
            </w:r>
          </w:p>
          <w:p w:rsidR="00680B4A" w:rsidRPr="006A6CE3" w:rsidRDefault="00680B4A" w:rsidP="0066199D">
            <w:pPr>
              <w:pStyle w:val="NoSpacing"/>
              <w:rPr>
                <w:rFonts w:ascii="Arial" w:hAnsi="Arial" w:cs="Arial"/>
                <w:sz w:val="24"/>
                <w:lang w:bidi="en-US"/>
              </w:rPr>
            </w:pPr>
          </w:p>
        </w:tc>
      </w:tr>
      <w:tr w:rsidR="00680B4A" w:rsidRPr="006A6CE3" w:rsidTr="0066199D">
        <w:tc>
          <w:tcPr>
            <w:tcW w:w="1131" w:type="dxa"/>
            <w:vAlign w:val="center"/>
          </w:tcPr>
          <w:p w:rsidR="00680B4A" w:rsidRPr="006A6CE3" w:rsidRDefault="00680B4A" w:rsidP="0066199D">
            <w:pPr>
              <w:pStyle w:val="NoSpacing"/>
              <w:rPr>
                <w:rFonts w:ascii="Arial" w:hAnsi="Arial" w:cs="Arial"/>
                <w:sz w:val="22"/>
                <w:lang w:bidi="en-US"/>
              </w:rPr>
            </w:pPr>
            <w:r w:rsidRPr="006A6CE3">
              <w:rPr>
                <w:rFonts w:ascii="Arial" w:hAnsi="Arial" w:cs="Arial"/>
                <w:sz w:val="22"/>
                <w:lang w:bidi="en-US"/>
              </w:rPr>
              <w:t>Mongolia</w:t>
            </w:r>
          </w:p>
        </w:tc>
        <w:tc>
          <w:tcPr>
            <w:tcW w:w="1268" w:type="dxa"/>
            <w:vAlign w:val="center"/>
          </w:tcPr>
          <w:p w:rsidR="00680B4A" w:rsidRPr="006A6CE3" w:rsidRDefault="00680B4A" w:rsidP="0066199D">
            <w:pPr>
              <w:pStyle w:val="NoSpacing"/>
              <w:rPr>
                <w:rFonts w:ascii="Arial" w:hAnsi="Arial" w:cs="Arial"/>
                <w:sz w:val="24"/>
                <w:lang w:bidi="en-US"/>
              </w:rPr>
            </w:pPr>
            <w:r w:rsidRPr="006A6CE3">
              <w:rPr>
                <w:rFonts w:ascii="Arial" w:hAnsi="Arial" w:cs="Arial"/>
                <w:sz w:val="24"/>
                <w:lang w:bidi="en-US"/>
              </w:rPr>
              <w:t>Not known</w:t>
            </w:r>
          </w:p>
        </w:tc>
        <w:tc>
          <w:tcPr>
            <w:tcW w:w="1272" w:type="dxa"/>
            <w:vAlign w:val="center"/>
          </w:tcPr>
          <w:p w:rsidR="00680B4A" w:rsidRPr="006A6CE3" w:rsidRDefault="00680B4A" w:rsidP="0066199D">
            <w:pPr>
              <w:pStyle w:val="NoSpacing"/>
              <w:rPr>
                <w:rFonts w:ascii="Arial" w:hAnsi="Arial" w:cs="Arial"/>
                <w:sz w:val="24"/>
                <w:lang w:bidi="en-US"/>
              </w:rPr>
            </w:pPr>
            <w:r w:rsidRPr="006A6CE3">
              <w:rPr>
                <w:rFonts w:ascii="Arial" w:hAnsi="Arial" w:cs="Arial"/>
                <w:sz w:val="24"/>
                <w:lang w:bidi="en-US"/>
              </w:rPr>
              <w:t>Not known</w:t>
            </w:r>
          </w:p>
        </w:tc>
        <w:tc>
          <w:tcPr>
            <w:tcW w:w="1109" w:type="dxa"/>
            <w:vAlign w:val="center"/>
          </w:tcPr>
          <w:p w:rsidR="00680B4A" w:rsidRPr="006A6CE3" w:rsidRDefault="00680B4A" w:rsidP="0066199D">
            <w:pPr>
              <w:pStyle w:val="NoSpacing"/>
              <w:rPr>
                <w:rFonts w:ascii="Arial" w:hAnsi="Arial" w:cs="Arial"/>
                <w:sz w:val="24"/>
                <w:lang w:bidi="en-US"/>
              </w:rPr>
            </w:pPr>
            <w:r w:rsidRPr="006A6CE3">
              <w:rPr>
                <w:rFonts w:ascii="Arial" w:hAnsi="Arial" w:cs="Arial"/>
                <w:sz w:val="24"/>
                <w:lang w:bidi="en-US"/>
              </w:rPr>
              <w:t>Not known</w:t>
            </w:r>
          </w:p>
        </w:tc>
        <w:tc>
          <w:tcPr>
            <w:tcW w:w="1327" w:type="dxa"/>
            <w:vAlign w:val="center"/>
          </w:tcPr>
          <w:p w:rsidR="00680B4A" w:rsidRPr="006A6CE3" w:rsidRDefault="00680B4A" w:rsidP="0066199D">
            <w:pPr>
              <w:pStyle w:val="NoSpacing"/>
              <w:rPr>
                <w:rFonts w:ascii="Arial" w:hAnsi="Arial" w:cs="Arial"/>
                <w:sz w:val="24"/>
                <w:lang w:bidi="en-US"/>
              </w:rPr>
            </w:pPr>
            <w:r w:rsidRPr="006A6CE3">
              <w:rPr>
                <w:rFonts w:ascii="Arial" w:hAnsi="Arial" w:cs="Arial"/>
                <w:sz w:val="24"/>
                <w:lang w:bidi="en-US"/>
              </w:rPr>
              <w:t>Not known</w:t>
            </w:r>
          </w:p>
        </w:tc>
        <w:tc>
          <w:tcPr>
            <w:tcW w:w="1174" w:type="dxa"/>
            <w:vAlign w:val="center"/>
          </w:tcPr>
          <w:p w:rsidR="00680B4A" w:rsidRPr="006A6CE3" w:rsidRDefault="00680B4A" w:rsidP="0066199D">
            <w:pPr>
              <w:pStyle w:val="NoSpacing"/>
              <w:rPr>
                <w:rFonts w:ascii="Arial" w:hAnsi="Arial" w:cs="Arial"/>
                <w:sz w:val="24"/>
                <w:lang w:bidi="en-US"/>
              </w:rPr>
            </w:pPr>
            <w:r w:rsidRPr="006A6CE3">
              <w:rPr>
                <w:rFonts w:ascii="Arial" w:hAnsi="Arial" w:cs="Arial"/>
                <w:sz w:val="24"/>
                <w:lang w:bidi="en-US"/>
              </w:rPr>
              <w:t>0</w:t>
            </w:r>
          </w:p>
        </w:tc>
        <w:tc>
          <w:tcPr>
            <w:tcW w:w="1292" w:type="dxa"/>
            <w:vAlign w:val="center"/>
          </w:tcPr>
          <w:p w:rsidR="00680B4A" w:rsidRPr="006A6CE3" w:rsidRDefault="00680B4A" w:rsidP="0066199D">
            <w:pPr>
              <w:pStyle w:val="NoSpacing"/>
              <w:rPr>
                <w:rFonts w:ascii="Arial" w:hAnsi="Arial" w:cs="Arial"/>
                <w:sz w:val="24"/>
                <w:lang w:bidi="en-US"/>
              </w:rPr>
            </w:pPr>
            <w:r w:rsidRPr="006A6CE3">
              <w:rPr>
                <w:rFonts w:ascii="Arial" w:hAnsi="Arial" w:cs="Arial"/>
                <w:sz w:val="24"/>
                <w:lang w:bidi="en-US"/>
              </w:rPr>
              <w:t>0</w:t>
            </w:r>
          </w:p>
        </w:tc>
        <w:tc>
          <w:tcPr>
            <w:tcW w:w="1281" w:type="dxa"/>
            <w:shd w:val="clear" w:color="auto" w:fill="D9D9D9" w:themeFill="background1" w:themeFillShade="D9"/>
            <w:vAlign w:val="center"/>
          </w:tcPr>
          <w:p w:rsidR="00680B4A" w:rsidRPr="006A6CE3" w:rsidRDefault="00680B4A" w:rsidP="0066199D">
            <w:pPr>
              <w:pStyle w:val="NoSpacing"/>
              <w:rPr>
                <w:rFonts w:ascii="Arial" w:hAnsi="Arial" w:cs="Arial"/>
                <w:sz w:val="24"/>
                <w:lang w:bidi="en-US"/>
              </w:rPr>
            </w:pPr>
            <w:r w:rsidRPr="00666499">
              <w:rPr>
                <w:rFonts w:ascii="Arial" w:hAnsi="Arial" w:cs="Arial"/>
                <w:sz w:val="24"/>
                <w:lang w:bidi="en-US"/>
              </w:rPr>
              <w:t>0</w:t>
            </w:r>
          </w:p>
        </w:tc>
      </w:tr>
      <w:tr w:rsidR="00680B4A" w:rsidRPr="006A6CE3" w:rsidTr="0066199D">
        <w:trPr>
          <w:trHeight w:val="432"/>
        </w:trPr>
        <w:tc>
          <w:tcPr>
            <w:tcW w:w="1131" w:type="dxa"/>
            <w:shd w:val="clear" w:color="auto" w:fill="D9D9D9" w:themeFill="background1" w:themeFillShade="D9"/>
            <w:vAlign w:val="center"/>
          </w:tcPr>
          <w:p w:rsidR="00680B4A" w:rsidRPr="00C76B98" w:rsidRDefault="00680B4A" w:rsidP="0066199D">
            <w:pPr>
              <w:pStyle w:val="NoSpacing"/>
              <w:rPr>
                <w:rFonts w:ascii="Arial" w:hAnsi="Arial" w:cs="Arial"/>
                <w:b/>
                <w:sz w:val="22"/>
                <w:lang w:bidi="en-US"/>
              </w:rPr>
            </w:pPr>
            <w:r w:rsidRPr="00C76B98">
              <w:rPr>
                <w:rFonts w:ascii="Arial" w:hAnsi="Arial" w:cs="Arial"/>
                <w:b/>
                <w:sz w:val="22"/>
                <w:lang w:bidi="en-US"/>
              </w:rPr>
              <w:t>Total</w:t>
            </w:r>
          </w:p>
        </w:tc>
        <w:tc>
          <w:tcPr>
            <w:tcW w:w="1268" w:type="dxa"/>
            <w:shd w:val="clear" w:color="auto" w:fill="D9D9D9" w:themeFill="background1" w:themeFillShade="D9"/>
            <w:vAlign w:val="center"/>
          </w:tcPr>
          <w:p w:rsidR="00680B4A" w:rsidRPr="006A6CE3" w:rsidRDefault="00680B4A" w:rsidP="0066199D">
            <w:pPr>
              <w:pStyle w:val="NoSpacing"/>
              <w:rPr>
                <w:rFonts w:ascii="Arial" w:hAnsi="Arial" w:cs="Arial"/>
                <w:sz w:val="24"/>
                <w:lang w:bidi="en-US"/>
              </w:rPr>
            </w:pPr>
            <w:r w:rsidRPr="00666499">
              <w:rPr>
                <w:rFonts w:ascii="Arial" w:hAnsi="Arial" w:cs="Arial"/>
                <w:sz w:val="24"/>
                <w:lang w:bidi="en-US"/>
              </w:rPr>
              <w:t>30,000</w:t>
            </w:r>
          </w:p>
        </w:tc>
        <w:tc>
          <w:tcPr>
            <w:tcW w:w="1272" w:type="dxa"/>
            <w:shd w:val="clear" w:color="auto" w:fill="D9D9D9" w:themeFill="background1" w:themeFillShade="D9"/>
            <w:vAlign w:val="center"/>
          </w:tcPr>
          <w:p w:rsidR="00680B4A" w:rsidRPr="006A6CE3" w:rsidRDefault="00680B4A" w:rsidP="0066199D">
            <w:pPr>
              <w:pStyle w:val="NoSpacing"/>
              <w:rPr>
                <w:rFonts w:ascii="Arial" w:hAnsi="Arial" w:cs="Arial"/>
                <w:sz w:val="24"/>
                <w:lang w:bidi="en-US"/>
              </w:rPr>
            </w:pPr>
            <w:r w:rsidRPr="00666499">
              <w:rPr>
                <w:rFonts w:ascii="Arial" w:hAnsi="Arial" w:cs="Arial"/>
                <w:sz w:val="24"/>
                <w:lang w:bidi="en-US"/>
              </w:rPr>
              <w:t>2,530</w:t>
            </w:r>
          </w:p>
        </w:tc>
        <w:tc>
          <w:tcPr>
            <w:tcW w:w="1109" w:type="dxa"/>
            <w:shd w:val="clear" w:color="auto" w:fill="D9D9D9" w:themeFill="background1" w:themeFillShade="D9"/>
            <w:vAlign w:val="center"/>
          </w:tcPr>
          <w:p w:rsidR="00680B4A" w:rsidRPr="006A6CE3" w:rsidRDefault="00680B4A" w:rsidP="0066199D">
            <w:pPr>
              <w:pStyle w:val="NoSpacing"/>
              <w:rPr>
                <w:rFonts w:ascii="Arial" w:hAnsi="Arial" w:cs="Arial"/>
                <w:sz w:val="24"/>
                <w:lang w:bidi="en-US"/>
              </w:rPr>
            </w:pPr>
            <w:r>
              <w:rPr>
                <w:rFonts w:ascii="Arial" w:hAnsi="Arial" w:cs="Arial"/>
                <w:sz w:val="24"/>
                <w:lang w:bidi="en-US"/>
              </w:rPr>
              <w:t>6,190</w:t>
            </w:r>
          </w:p>
        </w:tc>
        <w:tc>
          <w:tcPr>
            <w:tcW w:w="1327" w:type="dxa"/>
            <w:shd w:val="clear" w:color="auto" w:fill="D9D9D9" w:themeFill="background1" w:themeFillShade="D9"/>
            <w:vAlign w:val="center"/>
          </w:tcPr>
          <w:p w:rsidR="00680B4A" w:rsidRPr="006A6CE3" w:rsidRDefault="00680B4A" w:rsidP="0066199D">
            <w:pPr>
              <w:pStyle w:val="NoSpacing"/>
              <w:rPr>
                <w:rFonts w:ascii="Arial" w:hAnsi="Arial" w:cs="Arial"/>
                <w:sz w:val="24"/>
                <w:lang w:bidi="en-US"/>
              </w:rPr>
            </w:pPr>
            <w:r>
              <w:rPr>
                <w:rFonts w:ascii="Arial" w:hAnsi="Arial" w:cs="Arial"/>
                <w:sz w:val="24"/>
                <w:lang w:bidi="en-US"/>
              </w:rPr>
              <w:t>690</w:t>
            </w:r>
          </w:p>
        </w:tc>
        <w:tc>
          <w:tcPr>
            <w:tcW w:w="1174" w:type="dxa"/>
            <w:shd w:val="clear" w:color="auto" w:fill="D9D9D9" w:themeFill="background1" w:themeFillShade="D9"/>
            <w:vAlign w:val="center"/>
          </w:tcPr>
          <w:p w:rsidR="00680B4A" w:rsidRPr="006A6CE3" w:rsidRDefault="00680B4A" w:rsidP="0066199D">
            <w:pPr>
              <w:pStyle w:val="NoSpacing"/>
              <w:rPr>
                <w:rFonts w:ascii="Arial" w:hAnsi="Arial" w:cs="Arial"/>
                <w:sz w:val="24"/>
                <w:lang w:bidi="en-US"/>
              </w:rPr>
            </w:pPr>
            <w:r>
              <w:rPr>
                <w:rFonts w:ascii="Arial" w:hAnsi="Arial" w:cs="Arial"/>
                <w:sz w:val="24"/>
                <w:lang w:bidi="en-US"/>
              </w:rPr>
              <w:t>4,500</w:t>
            </w:r>
          </w:p>
        </w:tc>
        <w:tc>
          <w:tcPr>
            <w:tcW w:w="1292" w:type="dxa"/>
            <w:shd w:val="clear" w:color="auto" w:fill="D9D9D9" w:themeFill="background1" w:themeFillShade="D9"/>
            <w:vAlign w:val="center"/>
          </w:tcPr>
          <w:p w:rsidR="00680B4A" w:rsidRPr="006A6CE3" w:rsidRDefault="00680B4A" w:rsidP="0066199D">
            <w:pPr>
              <w:pStyle w:val="NoSpacing"/>
              <w:rPr>
                <w:rFonts w:ascii="Arial" w:hAnsi="Arial" w:cs="Arial"/>
                <w:sz w:val="24"/>
                <w:lang w:bidi="en-US"/>
              </w:rPr>
            </w:pPr>
            <w:r>
              <w:rPr>
                <w:rFonts w:ascii="Arial" w:hAnsi="Arial" w:cs="Arial"/>
                <w:sz w:val="24"/>
                <w:lang w:bidi="en-US"/>
              </w:rPr>
              <w:t>14,000</w:t>
            </w:r>
          </w:p>
        </w:tc>
        <w:tc>
          <w:tcPr>
            <w:tcW w:w="1281" w:type="dxa"/>
            <w:shd w:val="clear" w:color="auto" w:fill="D9D9D9" w:themeFill="background1" w:themeFillShade="D9"/>
            <w:vAlign w:val="center"/>
          </w:tcPr>
          <w:p w:rsidR="00680B4A" w:rsidRPr="00666499" w:rsidRDefault="00680B4A" w:rsidP="0066199D">
            <w:pPr>
              <w:pStyle w:val="NoSpacing"/>
              <w:rPr>
                <w:rFonts w:ascii="Arial" w:hAnsi="Arial" w:cs="Arial"/>
                <w:sz w:val="24"/>
                <w:lang w:bidi="en-US"/>
              </w:rPr>
            </w:pPr>
            <w:r w:rsidRPr="002B1436">
              <w:rPr>
                <w:rFonts w:ascii="Arial" w:eastAsia="Calibri" w:hAnsi="Arial" w:cs="Arial"/>
                <w:b/>
                <w:color w:val="FF66FF"/>
                <w:sz w:val="24"/>
                <w:szCs w:val="22"/>
                <w:lang w:bidi="en-US"/>
              </w:rPr>
              <w:t>57,910</w:t>
            </w:r>
            <w:r w:rsidR="000D737E" w:rsidRPr="002D3FBA">
              <w:rPr>
                <w:rStyle w:val="FootnoteReference"/>
                <w:rFonts w:cs="Arial"/>
                <w:szCs w:val="24"/>
                <w:lang w:bidi="en-US"/>
              </w:rPr>
              <w:footnoteReference w:id="102"/>
            </w:r>
          </w:p>
        </w:tc>
      </w:tr>
    </w:tbl>
    <w:p w:rsidR="00680B4A" w:rsidRDefault="00680B4A" w:rsidP="00680B4A">
      <w:pPr>
        <w:pStyle w:val="ListParagraph"/>
        <w:ind w:left="3969"/>
        <w:rPr>
          <w:rFonts w:cs="Arial"/>
          <w:lang w:bidi="en-US"/>
        </w:rPr>
      </w:pPr>
    </w:p>
    <w:tbl>
      <w:tblPr>
        <w:tblStyle w:val="TableGrid"/>
        <w:tblW w:w="0" w:type="auto"/>
        <w:tblLook w:val="04A0" w:firstRow="1" w:lastRow="0" w:firstColumn="1" w:lastColumn="0" w:noHBand="0" w:noVBand="1"/>
      </w:tblPr>
      <w:tblGrid>
        <w:gridCol w:w="9854"/>
      </w:tblGrid>
      <w:tr w:rsidR="00680B4A" w:rsidTr="0066199D">
        <w:tc>
          <w:tcPr>
            <w:tcW w:w="9854" w:type="dxa"/>
          </w:tcPr>
          <w:p w:rsidR="00680B4A" w:rsidRDefault="00F764FA" w:rsidP="002B1436">
            <w:pPr>
              <w:rPr>
                <w:rFonts w:ascii="LPEHM J+ Zurich BT" w:eastAsia="Times New Roman" w:hAnsi="LPEHM J+ Zurich BT" w:cs="Arial"/>
                <w:b/>
                <w:color w:val="000000"/>
              </w:rPr>
            </w:pPr>
            <w:r w:rsidRPr="002B1436">
              <w:rPr>
                <w:rFonts w:cs="Arial"/>
                <w:b/>
                <w:color w:val="000000"/>
                <w:highlight w:val="yellow"/>
              </w:rPr>
              <w:t xml:space="preserve">Box 1: </w:t>
            </w:r>
            <w:r w:rsidRPr="002B1436">
              <w:rPr>
                <w:rFonts w:cs="Arial"/>
                <w:color w:val="000000"/>
                <w:highlight w:val="yellow"/>
              </w:rPr>
              <w:t>Calculation of 2013-2014 gross emissions shown in</w:t>
            </w:r>
            <w:r w:rsidRPr="002B1436">
              <w:rPr>
                <w:rFonts w:cs="Arial"/>
                <w:b/>
                <w:color w:val="000000"/>
                <w:highlight w:val="yellow"/>
              </w:rPr>
              <w:t xml:space="preserve"> </w:t>
            </w:r>
            <w:r w:rsidRPr="002B1436">
              <w:rPr>
                <w:rFonts w:cs="Arial"/>
                <w:b/>
                <w:color w:val="000000"/>
                <w:highlight w:val="yellow"/>
              </w:rPr>
              <w:fldChar w:fldCharType="begin"/>
            </w:r>
            <w:r w:rsidRPr="002B1436">
              <w:rPr>
                <w:rFonts w:cs="Arial"/>
                <w:b/>
                <w:color w:val="000000"/>
                <w:highlight w:val="yellow"/>
              </w:rPr>
              <w:instrText xml:space="preserve"> REF _Ref380509038 \h </w:instrText>
            </w:r>
            <w:r w:rsidR="001C5116">
              <w:rPr>
                <w:rFonts w:cs="Arial"/>
                <w:b/>
                <w:color w:val="000000"/>
                <w:highlight w:val="yellow"/>
              </w:rPr>
              <w:instrText xml:space="preserve"> \* MERGEFORMAT </w:instrText>
            </w:r>
            <w:r w:rsidRPr="002B1436">
              <w:rPr>
                <w:rFonts w:cs="Arial"/>
                <w:b/>
                <w:color w:val="000000"/>
                <w:highlight w:val="yellow"/>
              </w:rPr>
            </w:r>
            <w:r w:rsidRPr="002B1436">
              <w:rPr>
                <w:rFonts w:cs="Arial"/>
                <w:b/>
                <w:color w:val="000000"/>
                <w:highlight w:val="yellow"/>
              </w:rPr>
              <w:fldChar w:fldCharType="separate"/>
            </w:r>
            <w:r w:rsidRPr="002B1436">
              <w:rPr>
                <w:highlight w:val="yellow"/>
              </w:rPr>
              <w:t xml:space="preserve">Table </w:t>
            </w:r>
            <w:r w:rsidRPr="002B1436">
              <w:rPr>
                <w:noProof/>
                <w:highlight w:val="yellow"/>
              </w:rPr>
              <w:t>4</w:t>
            </w:r>
            <w:r w:rsidRPr="002B1436">
              <w:rPr>
                <w:highlight w:val="yellow"/>
              </w:rPr>
              <w:t xml:space="preserve"> - Summary Table</w:t>
            </w:r>
            <w:r w:rsidRPr="002B1436">
              <w:rPr>
                <w:rFonts w:cs="Arial"/>
                <w:b/>
                <w:color w:val="000000"/>
                <w:highlight w:val="yellow"/>
              </w:rPr>
              <w:fldChar w:fldCharType="end"/>
            </w:r>
          </w:p>
        </w:tc>
      </w:tr>
      <w:tr w:rsidR="00680B4A" w:rsidTr="0066199D">
        <w:tc>
          <w:tcPr>
            <w:tcW w:w="9854" w:type="dxa"/>
          </w:tcPr>
          <w:p w:rsidR="00F764FA" w:rsidRPr="00A93E4F" w:rsidRDefault="00F764FA" w:rsidP="002B1436">
            <w:pPr>
              <w:pStyle w:val="ListParagraph"/>
              <w:rPr>
                <w:rFonts w:cs="Arial"/>
                <w:b/>
                <w:color w:val="000000"/>
              </w:rPr>
            </w:pPr>
            <w:r w:rsidRPr="00A93E4F">
              <w:rPr>
                <w:rFonts w:cs="Arial"/>
                <w:b/>
                <w:lang w:bidi="en-US"/>
              </w:rPr>
              <w:t>Gross emissions:</w:t>
            </w:r>
          </w:p>
          <w:p w:rsidR="00F764FA" w:rsidRPr="0093466E" w:rsidRDefault="00F764FA" w:rsidP="00F764FA">
            <w:pPr>
              <w:pStyle w:val="ListParagraph"/>
              <w:rPr>
                <w:rFonts w:cs="Arial"/>
                <w:b/>
                <w:color w:val="000000"/>
              </w:rPr>
            </w:pPr>
            <w:r w:rsidRPr="0043103A">
              <w:rPr>
                <w:rFonts w:cs="Arial"/>
                <w:lang w:bidi="en-US"/>
              </w:rPr>
              <w:t xml:space="preserve">S1+ S2(location-based) + S3 </w:t>
            </w:r>
            <w:r>
              <w:rPr>
                <w:rFonts w:cs="Arial"/>
                <w:lang w:bidi="en-US"/>
              </w:rPr>
              <w:t xml:space="preserve">  </w:t>
            </w:r>
            <w:r w:rsidRPr="0043103A">
              <w:rPr>
                <w:rFonts w:cs="Arial"/>
                <w:lang w:bidi="en-US"/>
              </w:rPr>
              <w:t>=</w:t>
            </w:r>
            <w:r>
              <w:rPr>
                <w:rFonts w:cs="Arial"/>
                <w:lang w:bidi="en-US"/>
              </w:rPr>
              <w:t xml:space="preserve"> </w:t>
            </w:r>
            <w:r w:rsidRPr="00A93E4F">
              <w:rPr>
                <w:rFonts w:eastAsia="Times New Roman" w:cs="Arial"/>
                <w:b/>
                <w:color w:val="00B0F0"/>
                <w:szCs w:val="24"/>
                <w:lang w:bidi="en-US"/>
              </w:rPr>
              <w:t>17,100</w:t>
            </w:r>
            <w:r w:rsidR="000D737E" w:rsidRPr="002D3FBA">
              <w:rPr>
                <w:rStyle w:val="FootnoteReference"/>
                <w:rFonts w:eastAsia="Times New Roman" w:cs="Arial"/>
                <w:szCs w:val="24"/>
                <w:lang w:bidi="en-US"/>
              </w:rPr>
              <w:footnoteReference w:id="103"/>
            </w:r>
            <w:r w:rsidRPr="00A93E4F">
              <w:rPr>
                <w:rFonts w:eastAsia="Times New Roman" w:cs="Arial"/>
                <w:color w:val="00B0F0"/>
                <w:szCs w:val="24"/>
                <w:lang w:bidi="en-US"/>
              </w:rPr>
              <w:t xml:space="preserve"> </w:t>
            </w:r>
            <w:r>
              <w:rPr>
                <w:rFonts w:eastAsia="Times New Roman" w:cs="Arial"/>
                <w:szCs w:val="24"/>
                <w:lang w:bidi="en-US"/>
              </w:rPr>
              <w:t xml:space="preserve">+ </w:t>
            </w:r>
            <w:r w:rsidRPr="00A93E4F">
              <w:rPr>
                <w:rFonts w:eastAsia="Times New Roman" w:cs="Arial"/>
                <w:b/>
                <w:color w:val="E36C0A" w:themeColor="accent6" w:themeShade="BF"/>
                <w:szCs w:val="24"/>
                <w:lang w:bidi="en-US"/>
              </w:rPr>
              <w:t xml:space="preserve">20,340 </w:t>
            </w:r>
            <w:r>
              <w:rPr>
                <w:rFonts w:eastAsia="Times New Roman" w:cs="Arial"/>
                <w:szCs w:val="24"/>
                <w:lang w:bidi="en-US"/>
              </w:rPr>
              <w:t xml:space="preserve">+ </w:t>
            </w:r>
            <w:r w:rsidRPr="00A93E4F">
              <w:rPr>
                <w:rFonts w:cs="Arial"/>
                <w:b/>
                <w:color w:val="FF66FF"/>
                <w:lang w:bidi="en-US"/>
              </w:rPr>
              <w:t>57,910</w:t>
            </w:r>
            <w:r w:rsidRPr="00A93E4F">
              <w:rPr>
                <w:rFonts w:cs="Arial"/>
                <w:color w:val="FF66FF"/>
                <w:lang w:bidi="en-US"/>
              </w:rPr>
              <w:t xml:space="preserve"> </w:t>
            </w:r>
            <w:r>
              <w:rPr>
                <w:rFonts w:cs="Arial"/>
                <w:lang w:bidi="en-US"/>
              </w:rPr>
              <w:t>Tonnes CO2e</w:t>
            </w:r>
          </w:p>
          <w:p w:rsidR="00680B4A" w:rsidRPr="00F764FA" w:rsidRDefault="00F764FA" w:rsidP="002B1436">
            <w:pPr>
              <w:pStyle w:val="ListParagraph"/>
              <w:ind w:left="3969"/>
              <w:rPr>
                <w:rFonts w:cs="Arial"/>
                <w:lang w:bidi="en-US"/>
              </w:rPr>
            </w:pPr>
            <w:r>
              <w:rPr>
                <w:rFonts w:cs="Arial"/>
                <w:lang w:bidi="en-US"/>
              </w:rPr>
              <w:t xml:space="preserve">= </w:t>
            </w:r>
            <w:r w:rsidRPr="00A93E4F">
              <w:rPr>
                <w:rFonts w:cs="Arial"/>
                <w:b/>
                <w:color w:val="FF0000"/>
                <w:lang w:bidi="en-US"/>
              </w:rPr>
              <w:t>95,350</w:t>
            </w:r>
            <w:r>
              <w:rPr>
                <w:rFonts w:cs="Arial"/>
                <w:lang w:bidi="en-US"/>
              </w:rPr>
              <w:t xml:space="preserve"> Tonnes CO2e</w:t>
            </w:r>
          </w:p>
        </w:tc>
      </w:tr>
    </w:tbl>
    <w:p w:rsidR="00913351" w:rsidRPr="006A6CE3" w:rsidRDefault="007944B7" w:rsidP="007944B7">
      <w:pPr>
        <w:rPr>
          <w:rFonts w:cs="Arial"/>
          <w:b/>
          <w:color w:val="76923C"/>
          <w:sz w:val="28"/>
          <w:szCs w:val="28"/>
        </w:rPr>
      </w:pPr>
      <w:r w:rsidRPr="006A6CE3">
        <w:rPr>
          <w:rFonts w:cs="Arial"/>
          <w:b/>
          <w:color w:val="76923C"/>
          <w:sz w:val="28"/>
          <w:szCs w:val="28"/>
        </w:rPr>
        <w:t>Base Year</w:t>
      </w:r>
    </w:p>
    <w:p w:rsidR="00913351" w:rsidRPr="006A6CE3" w:rsidRDefault="00913351" w:rsidP="00E204D9">
      <w:pPr>
        <w:rPr>
          <w:rFonts w:cs="Arial"/>
        </w:rPr>
      </w:pPr>
      <w:r w:rsidRPr="006A6CE3">
        <w:rPr>
          <w:rFonts w:cs="Arial"/>
        </w:rPr>
        <w:t>We have a fixed base year of 2006. We chose this year as it was the first year for which we considered that we had reliable data and it was typical in respect of our operations. Our base year recalculation policy is to recalculate our base year and the prior year emissions for relevant significant changes which meet our significance threshold of 5% of base year emissions.</w:t>
      </w:r>
    </w:p>
    <w:p w:rsidR="00913351" w:rsidRPr="006A6CE3" w:rsidRDefault="00913351" w:rsidP="00E204D9">
      <w:pPr>
        <w:rPr>
          <w:rFonts w:cs="Arial"/>
        </w:rPr>
      </w:pPr>
      <w:r w:rsidRPr="006A6CE3">
        <w:rPr>
          <w:rFonts w:cs="Arial"/>
        </w:rPr>
        <w:t>We have recalculated our base year to account for the sale of our facilities and operations in Kazakhstan which accounted for 2,000 tonnes of CO</w:t>
      </w:r>
      <w:r w:rsidRPr="006A6CE3">
        <w:rPr>
          <w:rFonts w:cs="Arial"/>
          <w:vertAlign w:val="subscript"/>
        </w:rPr>
        <w:t>2</w:t>
      </w:r>
      <w:r w:rsidRPr="006A6CE3">
        <w:rPr>
          <w:rFonts w:cs="Arial"/>
        </w:rPr>
        <w:t>e emissions in the base year.</w:t>
      </w:r>
    </w:p>
    <w:p w:rsidR="00913351" w:rsidRPr="006A6CE3" w:rsidRDefault="00913351" w:rsidP="007944B7">
      <w:pPr>
        <w:rPr>
          <w:rFonts w:cs="Arial"/>
          <w:b/>
          <w:color w:val="76923C"/>
          <w:sz w:val="28"/>
          <w:szCs w:val="28"/>
        </w:rPr>
      </w:pPr>
      <w:r w:rsidRPr="006A6CE3">
        <w:rPr>
          <w:rFonts w:cs="Arial"/>
          <w:b/>
          <w:color w:val="76923C"/>
          <w:sz w:val="28"/>
          <w:szCs w:val="28"/>
        </w:rPr>
        <w:t>Targets</w:t>
      </w:r>
    </w:p>
    <w:p w:rsidR="00913351" w:rsidRPr="006A6CE3" w:rsidRDefault="00913351" w:rsidP="007944B7">
      <w:pPr>
        <w:rPr>
          <w:rFonts w:cs="Arial"/>
          <w:b/>
          <w:color w:val="76923C"/>
          <w:sz w:val="28"/>
          <w:szCs w:val="28"/>
        </w:rPr>
      </w:pPr>
      <w:r w:rsidRPr="006A6CE3">
        <w:rPr>
          <w:rFonts w:cs="Arial"/>
          <w:color w:val="000000"/>
        </w:rPr>
        <w:t xml:space="preserve">Our emissions reduction target </w:t>
      </w:r>
      <w:r w:rsidR="00654EF5">
        <w:rPr>
          <w:rFonts w:cs="Arial"/>
          <w:color w:val="000000"/>
        </w:rPr>
        <w:t xml:space="preserve">set in 2009-2010 </w:t>
      </w:r>
      <w:r w:rsidRPr="006A6CE3">
        <w:rPr>
          <w:rFonts w:cs="Arial"/>
          <w:color w:val="000000"/>
        </w:rPr>
        <w:t>is to reduce our gross</w:t>
      </w:r>
      <w:r w:rsidR="001137A1">
        <w:rPr>
          <w:rFonts w:cs="Arial"/>
          <w:color w:val="000000"/>
        </w:rPr>
        <w:t>,</w:t>
      </w:r>
      <w:r w:rsidRPr="006A6CE3">
        <w:rPr>
          <w:rFonts w:cs="Arial"/>
          <w:color w:val="000000"/>
        </w:rPr>
        <w:t xml:space="preserve"> global </w:t>
      </w:r>
      <w:r w:rsidR="00B5236E">
        <w:rPr>
          <w:rFonts w:cs="Arial"/>
          <w:color w:val="000000"/>
        </w:rPr>
        <w:t>S</w:t>
      </w:r>
      <w:r w:rsidRPr="006A6CE3">
        <w:rPr>
          <w:rFonts w:cs="Arial"/>
          <w:color w:val="000000"/>
        </w:rPr>
        <w:t xml:space="preserve">cope 1 and </w:t>
      </w:r>
      <w:r w:rsidR="00B5236E">
        <w:rPr>
          <w:rFonts w:cs="Arial"/>
          <w:color w:val="000000"/>
        </w:rPr>
        <w:t>S</w:t>
      </w:r>
      <w:r w:rsidR="00654EF5">
        <w:rPr>
          <w:rFonts w:cs="Arial"/>
          <w:color w:val="000000"/>
        </w:rPr>
        <w:t xml:space="preserve">cope </w:t>
      </w:r>
      <w:r w:rsidRPr="006A6CE3">
        <w:rPr>
          <w:rFonts w:cs="Arial"/>
          <w:color w:val="000000"/>
        </w:rPr>
        <w:t>2 emissions in tonnes of CO</w:t>
      </w:r>
      <w:r w:rsidRPr="006A6CE3">
        <w:rPr>
          <w:rFonts w:cs="Arial"/>
          <w:color w:val="000000"/>
          <w:vertAlign w:val="subscript"/>
        </w:rPr>
        <w:t>2</w:t>
      </w:r>
      <w:r w:rsidRPr="006A6CE3">
        <w:rPr>
          <w:rFonts w:cs="Arial"/>
          <w:color w:val="000000"/>
        </w:rPr>
        <w:t>e</w:t>
      </w:r>
      <w:r w:rsidRPr="006A6CE3" w:rsidDel="0070261F">
        <w:rPr>
          <w:rFonts w:cs="Arial"/>
          <w:color w:val="000000"/>
        </w:rPr>
        <w:t xml:space="preserve"> </w:t>
      </w:r>
      <w:r w:rsidRPr="006A6CE3">
        <w:rPr>
          <w:rFonts w:cs="Arial"/>
          <w:color w:val="000000"/>
        </w:rPr>
        <w:t>per tonne of product output by 10.</w:t>
      </w:r>
      <w:r w:rsidRPr="006A6CE3" w:rsidDel="00463A36">
        <w:rPr>
          <w:rFonts w:cs="Arial"/>
          <w:color w:val="000000"/>
        </w:rPr>
        <w:t>0</w:t>
      </w:r>
      <w:r w:rsidRPr="006A6CE3">
        <w:rPr>
          <w:rFonts w:cs="Arial"/>
          <w:color w:val="000000"/>
        </w:rPr>
        <w:t xml:space="preserve">% from </w:t>
      </w:r>
      <w:r w:rsidRPr="006A6CE3">
        <w:rPr>
          <w:rFonts w:cs="Arial"/>
          <w:color w:val="000000"/>
        </w:rPr>
        <w:lastRenderedPageBreak/>
        <w:t>2006-2007 to 2014-2015.</w:t>
      </w:r>
      <w:r w:rsidR="00654EF5">
        <w:rPr>
          <w:rFonts w:cs="Arial"/>
          <w:color w:val="000000"/>
        </w:rPr>
        <w:t xml:space="preserve"> </w:t>
      </w:r>
      <w:r w:rsidRPr="006A6CE3">
        <w:rPr>
          <w:rFonts w:cs="Arial"/>
          <w:color w:val="000000"/>
        </w:rPr>
        <w:t>Our progress towards reaching this target has been reasonable this year and we expect to meet this target in 2014-2015. Allan Woods, Managing Director, and Paul Smith, Chief Operating Officer, are responsible for the achievement of the target.</w:t>
      </w:r>
      <w:r w:rsidR="00654EF5">
        <w:rPr>
          <w:rFonts w:cs="Arial"/>
          <w:color w:val="000000"/>
        </w:rPr>
        <w:t xml:space="preserve"> </w:t>
      </w:r>
      <w:r w:rsidRPr="006A6CE3">
        <w:rPr>
          <w:rFonts w:cs="Arial"/>
          <w:b/>
          <w:color w:val="76923C"/>
          <w:sz w:val="28"/>
          <w:szCs w:val="28"/>
        </w:rPr>
        <w:t>Intensity Measurement</w:t>
      </w:r>
    </w:p>
    <w:p w:rsidR="006D3B2A" w:rsidRDefault="00913351" w:rsidP="007944B7">
      <w:pPr>
        <w:rPr>
          <w:rFonts w:cs="Arial"/>
          <w:color w:val="000000"/>
        </w:rPr>
      </w:pPr>
      <w:r w:rsidRPr="006A6CE3">
        <w:rPr>
          <w:rFonts w:cs="Arial"/>
          <w:color w:val="000000"/>
        </w:rPr>
        <w:t xml:space="preserve">We have chosen the metric gross global </w:t>
      </w:r>
      <w:r w:rsidR="00685E60">
        <w:rPr>
          <w:rFonts w:cs="Arial"/>
          <w:color w:val="000000"/>
        </w:rPr>
        <w:t>Scope</w:t>
      </w:r>
      <w:r w:rsidRPr="006A6CE3">
        <w:rPr>
          <w:rFonts w:cs="Arial"/>
          <w:color w:val="000000"/>
        </w:rPr>
        <w:t xml:space="preserve"> 1 and 2 emissions in tonnes of CO</w:t>
      </w:r>
      <w:r w:rsidRPr="006A6CE3">
        <w:rPr>
          <w:rFonts w:cs="Arial"/>
          <w:color w:val="000000"/>
          <w:vertAlign w:val="subscript"/>
        </w:rPr>
        <w:t>2</w:t>
      </w:r>
      <w:r w:rsidRPr="006A6CE3">
        <w:rPr>
          <w:rFonts w:cs="Arial"/>
          <w:color w:val="000000"/>
        </w:rPr>
        <w:t>e per tonne of product output as this is a common business metric for our industry sector. Our intensity measurement has fallen this year as we have invested £5 million in more energy efficient process equipment in our operations in the USA.</w:t>
      </w:r>
      <w:r w:rsidR="00654EF5">
        <w:rPr>
          <w:rFonts w:cs="Arial"/>
          <w:color w:val="000000"/>
        </w:rPr>
        <w:t xml:space="preserve"> </w:t>
      </w:r>
    </w:p>
    <w:p w:rsidR="00913351" w:rsidRPr="006A6CE3" w:rsidRDefault="00913351" w:rsidP="007944B7">
      <w:pPr>
        <w:rPr>
          <w:rFonts w:cs="Arial"/>
          <w:b/>
          <w:color w:val="76923C"/>
          <w:sz w:val="28"/>
          <w:szCs w:val="28"/>
        </w:rPr>
      </w:pPr>
      <w:r w:rsidRPr="006A6CE3">
        <w:rPr>
          <w:rFonts w:cs="Arial"/>
          <w:b/>
          <w:color w:val="76923C"/>
          <w:sz w:val="28"/>
          <w:szCs w:val="28"/>
        </w:rPr>
        <w:t>External Assurance Statement</w:t>
      </w:r>
    </w:p>
    <w:p w:rsidR="00913351" w:rsidRPr="006A6CE3" w:rsidRDefault="00913351" w:rsidP="007944B7">
      <w:pPr>
        <w:rPr>
          <w:rFonts w:cs="Arial"/>
        </w:rPr>
      </w:pPr>
      <w:r w:rsidRPr="006A6CE3">
        <w:rPr>
          <w:rFonts w:cs="Arial"/>
          <w:color w:val="000000"/>
        </w:rPr>
        <w:t xml:space="preserve">We have received an independent external assurance statement from xxx. </w:t>
      </w:r>
      <w:r w:rsidRPr="006A6CE3">
        <w:rPr>
          <w:rFonts w:cs="Arial"/>
        </w:rPr>
        <w:t xml:space="preserve">To see the external assurance </w:t>
      </w:r>
      <w:r w:rsidRPr="006A6CE3">
        <w:rPr>
          <w:rFonts w:cs="Arial"/>
          <w:color w:val="000000"/>
        </w:rPr>
        <w:t>statement,</w:t>
      </w:r>
      <w:r w:rsidRPr="006A6CE3">
        <w:rPr>
          <w:rFonts w:cs="Arial"/>
        </w:rPr>
        <w:t xml:space="preserve"> please go to www.xx.co.uk.</w:t>
      </w:r>
    </w:p>
    <w:p w:rsidR="00913351" w:rsidRPr="006A6CE3" w:rsidRDefault="00913351" w:rsidP="007944B7">
      <w:pPr>
        <w:rPr>
          <w:rFonts w:cs="Arial"/>
          <w:b/>
          <w:color w:val="76923C"/>
          <w:sz w:val="28"/>
          <w:szCs w:val="28"/>
        </w:rPr>
      </w:pPr>
      <w:r w:rsidRPr="006A6CE3">
        <w:rPr>
          <w:rFonts w:cs="Arial"/>
          <w:b/>
          <w:color w:val="76923C"/>
          <w:sz w:val="28"/>
          <w:szCs w:val="28"/>
        </w:rPr>
        <w:t>Carbon Offsets</w:t>
      </w:r>
    </w:p>
    <w:p w:rsidR="00913351" w:rsidRPr="006A6CE3" w:rsidRDefault="00913351" w:rsidP="007944B7">
      <w:pPr>
        <w:rPr>
          <w:rFonts w:cs="Arial"/>
          <w:szCs w:val="24"/>
        </w:rPr>
      </w:pPr>
      <w:r w:rsidRPr="006A6CE3">
        <w:rPr>
          <w:rFonts w:cs="Arial"/>
        </w:rPr>
        <w:t>We have purchased carbon credits which reduce our GHG emissions by 5,000 tonnes.  The credits are Kyoto-compliant Certified Emission Reductions (CERs) covered by the Clean Development Mechanism (CDM).</w:t>
      </w:r>
      <w:r w:rsidRPr="006A6CE3">
        <w:rPr>
          <w:rFonts w:cs="Arial"/>
          <w:sz w:val="20"/>
        </w:rPr>
        <w:t xml:space="preserve"> </w:t>
      </w:r>
      <w:r w:rsidRPr="006A6CE3">
        <w:rPr>
          <w:rFonts w:cs="Arial"/>
        </w:rPr>
        <w:t xml:space="preserve"> These carbon credits were supplied by Carbon Offsetting Ltd.  The credits are from Project 0939: </w:t>
      </w:r>
      <w:r w:rsidRPr="00720C71">
        <w:rPr>
          <w:rFonts w:cs="Arial"/>
        </w:rPr>
        <w:t xml:space="preserve">Yutan Hydroelectric Project. Project documentation can be found here:  </w:t>
      </w:r>
      <w:hyperlink r:id="rId80" w:history="1">
        <w:r w:rsidRPr="00720C71">
          <w:rPr>
            <w:rStyle w:val="Hyperlink"/>
            <w:rFonts w:cs="Arial"/>
          </w:rPr>
          <w:t>http://cdm.unfccc.int/Projects/XX/XX/view</w:t>
        </w:r>
      </w:hyperlink>
      <w:r w:rsidRPr="00720C71">
        <w:rPr>
          <w:rFonts w:cs="Arial"/>
        </w:rPr>
        <w:t xml:space="preserve"> and the notice of retirement here</w:t>
      </w:r>
      <w:r w:rsidRPr="00720C71">
        <w:rPr>
          <w:rFonts w:cs="Arial"/>
          <w:szCs w:val="24"/>
        </w:rPr>
        <w:t xml:space="preserve">: </w:t>
      </w:r>
      <w:r w:rsidRPr="002B1436">
        <w:rPr>
          <w:rStyle w:val="Hyperlink"/>
        </w:rPr>
        <w:t>http://cdm.unfccc.int/XX/XX/XX</w:t>
      </w:r>
    </w:p>
    <w:p w:rsidR="00913351" w:rsidRPr="006A6CE3" w:rsidRDefault="00913351" w:rsidP="007944B7">
      <w:pPr>
        <w:rPr>
          <w:rFonts w:cs="Arial"/>
          <w:b/>
          <w:color w:val="76923C"/>
          <w:sz w:val="28"/>
          <w:szCs w:val="28"/>
        </w:rPr>
      </w:pPr>
      <w:r w:rsidRPr="006A6CE3">
        <w:rPr>
          <w:rFonts w:cs="Arial"/>
          <w:b/>
          <w:color w:val="76923C"/>
          <w:sz w:val="28"/>
          <w:szCs w:val="28"/>
        </w:rPr>
        <w:t>Woodland Carbon Units</w:t>
      </w:r>
    </w:p>
    <w:p w:rsidR="00913351" w:rsidRPr="006A6CE3" w:rsidRDefault="00913351" w:rsidP="007944B7">
      <w:pPr>
        <w:rPr>
          <w:rFonts w:cs="Arial"/>
        </w:rPr>
      </w:pPr>
      <w:r w:rsidRPr="006A6CE3">
        <w:rPr>
          <w:rFonts w:cs="Arial"/>
        </w:rPr>
        <w:t xml:space="preserve">100 Woodland Carbon Units of vintage ‘2009-2013’ were retired in early 2014 for the purpose of reporting in this report. The credits are non-Kyoto-compliant UK Woodland Carbon Units (WCUs).  The credits are from Project ID: 2012/SC/0005 Project Name: Milton of </w:t>
      </w:r>
      <w:proofErr w:type="spellStart"/>
      <w:r w:rsidRPr="006A6CE3">
        <w:rPr>
          <w:rFonts w:cs="Arial"/>
        </w:rPr>
        <w:t>Mathers</w:t>
      </w:r>
      <w:proofErr w:type="spellEnd"/>
      <w:r w:rsidRPr="006A6CE3">
        <w:rPr>
          <w:rFonts w:cs="Arial"/>
        </w:rPr>
        <w:t xml:space="preserve">. Project documentation can be found here: </w:t>
      </w:r>
      <w:hyperlink r:id="rId81" w:history="1">
        <w:r w:rsidRPr="006A6CE3">
          <w:rPr>
            <w:rStyle w:val="Hyperlink"/>
            <w:rFonts w:cs="Arial"/>
          </w:rPr>
          <w:t>http://www.forestry.gov.uk/forestry/infd-863h7a</w:t>
        </w:r>
      </w:hyperlink>
      <w:r w:rsidRPr="006A6CE3">
        <w:rPr>
          <w:rFonts w:cs="Arial"/>
        </w:rPr>
        <w:t xml:space="preserve">.  The project was validated and verified by SFQC. Credits were retired from the registry as demonstrated here &lt;&lt;web address of ‘credit </w:t>
      </w:r>
      <w:proofErr w:type="spellStart"/>
      <w:r w:rsidRPr="006A6CE3">
        <w:rPr>
          <w:rFonts w:cs="Arial"/>
        </w:rPr>
        <w:t>retiral</w:t>
      </w:r>
      <w:proofErr w:type="spellEnd"/>
      <w:r w:rsidRPr="006A6CE3">
        <w:rPr>
          <w:rFonts w:cs="Arial"/>
        </w:rPr>
        <w:t>’ page&gt;&gt;</w:t>
      </w:r>
    </w:p>
    <w:p w:rsidR="000A3F0F" w:rsidRPr="002B1436" w:rsidRDefault="000A3F0F" w:rsidP="000A3F0F">
      <w:pPr>
        <w:rPr>
          <w:rFonts w:cs="Arial"/>
          <w:b/>
          <w:color w:val="76923C"/>
          <w:sz w:val="28"/>
          <w:szCs w:val="28"/>
          <w:highlight w:val="yellow"/>
        </w:rPr>
      </w:pPr>
      <w:bookmarkStart w:id="340" w:name="_ANNEX_E:_How"/>
      <w:bookmarkEnd w:id="340"/>
      <w:r w:rsidRPr="002B1436">
        <w:rPr>
          <w:rFonts w:cs="Arial"/>
          <w:b/>
          <w:color w:val="76923C"/>
          <w:sz w:val="28"/>
          <w:szCs w:val="28"/>
          <w:highlight w:val="yellow"/>
        </w:rPr>
        <w:t xml:space="preserve">Grid-injected </w:t>
      </w:r>
      <w:proofErr w:type="spellStart"/>
      <w:r w:rsidRPr="002B1436">
        <w:rPr>
          <w:rFonts w:cs="Arial"/>
          <w:b/>
          <w:color w:val="76923C"/>
          <w:sz w:val="28"/>
          <w:szCs w:val="28"/>
          <w:highlight w:val="yellow"/>
        </w:rPr>
        <w:t>biomethane</w:t>
      </w:r>
      <w:proofErr w:type="spellEnd"/>
    </w:p>
    <w:p w:rsidR="000A3F0F" w:rsidRPr="00C76B98" w:rsidRDefault="000A3F0F" w:rsidP="000A3F0F">
      <w:pPr>
        <w:rPr>
          <w:rFonts w:cs="Arial"/>
          <w:b/>
          <w:color w:val="76923C"/>
          <w:sz w:val="28"/>
          <w:szCs w:val="28"/>
        </w:rPr>
      </w:pPr>
      <w:r w:rsidRPr="002B1436">
        <w:rPr>
          <w:rFonts w:cs="Arial"/>
          <w:highlight w:val="yellow"/>
        </w:rPr>
        <w:t xml:space="preserve">We have purchased certified grid-injected </w:t>
      </w:r>
      <w:proofErr w:type="spellStart"/>
      <w:r w:rsidRPr="002B1436">
        <w:rPr>
          <w:rFonts w:cs="Arial"/>
          <w:highlight w:val="yellow"/>
        </w:rPr>
        <w:t>biomethane</w:t>
      </w:r>
      <w:proofErr w:type="spellEnd"/>
      <w:r w:rsidRPr="002B1436">
        <w:rPr>
          <w:rFonts w:cs="Arial"/>
          <w:highlight w:val="yellow"/>
        </w:rPr>
        <w:t xml:space="preserve"> which reduces our GHG emissions by 500 tonnes CO2e</w:t>
      </w:r>
      <w:r w:rsidR="00B5236E" w:rsidRPr="002B1436">
        <w:rPr>
          <w:rStyle w:val="FootnoteReference"/>
          <w:rFonts w:cs="Arial"/>
          <w:highlight w:val="yellow"/>
        </w:rPr>
        <w:footnoteReference w:id="104"/>
      </w:r>
      <w:r w:rsidRPr="002B1436">
        <w:rPr>
          <w:rFonts w:cs="Arial"/>
          <w:highlight w:val="yellow"/>
        </w:rPr>
        <w:t xml:space="preserve">. </w:t>
      </w:r>
      <w:proofErr w:type="spellStart"/>
      <w:r w:rsidRPr="002B1436">
        <w:rPr>
          <w:rFonts w:cs="Arial"/>
          <w:highlight w:val="yellow"/>
        </w:rPr>
        <w:t>Biomethane</w:t>
      </w:r>
      <w:proofErr w:type="spellEnd"/>
      <w:r w:rsidRPr="002B1436">
        <w:rPr>
          <w:rFonts w:cs="Arial"/>
          <w:highlight w:val="yellow"/>
        </w:rPr>
        <w:t xml:space="preserve"> certificates were issued by an organisation that has passed a check by an independent body competent to assess schemes of this nature.</w:t>
      </w:r>
    </w:p>
    <w:p w:rsidR="00913351" w:rsidRPr="002B1436" w:rsidRDefault="007944B7" w:rsidP="007944B7">
      <w:pPr>
        <w:rPr>
          <w:rFonts w:cs="Arial"/>
          <w:b/>
          <w:bCs/>
          <w:color w:val="76923C"/>
          <w:sz w:val="28"/>
          <w:szCs w:val="28"/>
          <w:highlight w:val="yellow"/>
        </w:rPr>
      </w:pPr>
      <w:r w:rsidRPr="002B1436">
        <w:rPr>
          <w:rFonts w:cs="Arial"/>
          <w:b/>
          <w:bCs/>
          <w:color w:val="76923C"/>
          <w:sz w:val="28"/>
          <w:szCs w:val="28"/>
          <w:highlight w:val="yellow"/>
        </w:rPr>
        <w:t>Electricity</w:t>
      </w:r>
    </w:p>
    <w:p w:rsidR="000A3F0F" w:rsidRPr="002B1436" w:rsidRDefault="00913351" w:rsidP="007944B7">
      <w:pPr>
        <w:rPr>
          <w:rFonts w:cs="Arial"/>
          <w:bCs/>
          <w:highlight w:val="yellow"/>
        </w:rPr>
      </w:pPr>
      <w:r w:rsidRPr="002B1436">
        <w:rPr>
          <w:rFonts w:cs="Arial"/>
          <w:b/>
          <w:bCs/>
          <w:highlight w:val="yellow"/>
        </w:rPr>
        <w:lastRenderedPageBreak/>
        <w:t>Electricity purchased for own use or consumption:</w:t>
      </w:r>
      <w:r w:rsidRPr="002B1436">
        <w:rPr>
          <w:rFonts w:cs="Arial"/>
          <w:bCs/>
          <w:highlight w:val="yellow"/>
        </w:rPr>
        <w:t xml:space="preserve"> </w:t>
      </w:r>
      <w:r w:rsidR="000A3F0F" w:rsidRPr="002B1436">
        <w:rPr>
          <w:rFonts w:cs="Arial"/>
          <w:bCs/>
          <w:highlight w:val="yellow"/>
        </w:rPr>
        <w:t xml:space="preserve">43,000 </w:t>
      </w:r>
      <w:proofErr w:type="spellStart"/>
      <w:r w:rsidR="000A3F0F" w:rsidRPr="002B1436">
        <w:rPr>
          <w:rFonts w:cs="Arial"/>
          <w:bCs/>
          <w:highlight w:val="yellow"/>
        </w:rPr>
        <w:t>MWh</w:t>
      </w:r>
      <w:proofErr w:type="spellEnd"/>
      <w:r w:rsidR="000A3F0F" w:rsidRPr="002B1436">
        <w:rPr>
          <w:rFonts w:cs="Arial"/>
          <w:bCs/>
          <w:highlight w:val="yellow"/>
        </w:rPr>
        <w:t xml:space="preserve">, of which, 8,000 </w:t>
      </w:r>
      <w:proofErr w:type="spellStart"/>
      <w:r w:rsidR="000A3F0F" w:rsidRPr="002B1436">
        <w:rPr>
          <w:rFonts w:cs="Arial"/>
          <w:bCs/>
          <w:highlight w:val="yellow"/>
        </w:rPr>
        <w:t>MWh</w:t>
      </w:r>
      <w:proofErr w:type="spellEnd"/>
      <w:r w:rsidR="000A3F0F" w:rsidRPr="002B1436">
        <w:rPr>
          <w:rFonts w:cs="Arial"/>
          <w:bCs/>
          <w:highlight w:val="yellow"/>
        </w:rPr>
        <w:t xml:space="preserve"> met </w:t>
      </w:r>
      <w:proofErr w:type="spellStart"/>
      <w:r w:rsidR="000A3F0F" w:rsidRPr="002B1436">
        <w:rPr>
          <w:rFonts w:cs="Arial"/>
          <w:bCs/>
          <w:highlight w:val="yellow"/>
        </w:rPr>
        <w:t>Defra’s</w:t>
      </w:r>
      <w:proofErr w:type="spellEnd"/>
      <w:r w:rsidR="000A3F0F" w:rsidRPr="002B1436">
        <w:rPr>
          <w:rFonts w:cs="Arial"/>
          <w:bCs/>
          <w:highlight w:val="yellow"/>
        </w:rPr>
        <w:t xml:space="preserve"> purchased renewable electricity criteria. Purchased renewables made up of 3000MWh offshore wind generated in the UK at the </w:t>
      </w:r>
      <w:proofErr w:type="spellStart"/>
      <w:r w:rsidR="000A3F0F" w:rsidRPr="002B1436">
        <w:rPr>
          <w:rFonts w:cs="Arial"/>
          <w:bCs/>
          <w:highlight w:val="yellow"/>
        </w:rPr>
        <w:t>Watersmeet</w:t>
      </w:r>
      <w:proofErr w:type="spellEnd"/>
      <w:r w:rsidR="000A3F0F" w:rsidRPr="002B1436">
        <w:rPr>
          <w:rFonts w:cs="Arial"/>
          <w:bCs/>
          <w:highlight w:val="yellow"/>
        </w:rPr>
        <w:t xml:space="preserve"> array commissioned in 2010 and 5000MWh purchased in the US. Renewable Obligation Certificates were generated from these </w:t>
      </w:r>
      <w:proofErr w:type="spellStart"/>
      <w:r w:rsidR="000A3F0F" w:rsidRPr="002B1436">
        <w:rPr>
          <w:rFonts w:cs="Arial"/>
          <w:bCs/>
          <w:highlight w:val="yellow"/>
        </w:rPr>
        <w:t>MWh</w:t>
      </w:r>
      <w:proofErr w:type="spellEnd"/>
      <w:r w:rsidR="000A3F0F" w:rsidRPr="002B1436">
        <w:rPr>
          <w:rFonts w:cs="Arial"/>
          <w:bCs/>
          <w:highlight w:val="yellow"/>
        </w:rPr>
        <w:t>. No public subsidy was received.</w:t>
      </w:r>
    </w:p>
    <w:p w:rsidR="00913351" w:rsidRPr="002B1436" w:rsidRDefault="00913351" w:rsidP="007944B7">
      <w:pPr>
        <w:rPr>
          <w:rFonts w:cs="Arial"/>
          <w:highlight w:val="yellow"/>
        </w:rPr>
      </w:pPr>
      <w:r w:rsidRPr="002B1436">
        <w:rPr>
          <w:rFonts w:cs="Arial"/>
          <w:b/>
          <w:highlight w:val="yellow"/>
        </w:rPr>
        <w:t>Renewable electricity generated from owned or controlled sources:</w:t>
      </w:r>
      <w:r w:rsidRPr="002B1436">
        <w:rPr>
          <w:rFonts w:cs="Arial"/>
          <w:highlight w:val="yellow"/>
        </w:rPr>
        <w:t xml:space="preserve"> 400 </w:t>
      </w:r>
      <w:proofErr w:type="spellStart"/>
      <w:r w:rsidRPr="002B1436">
        <w:rPr>
          <w:rFonts w:cs="Arial"/>
          <w:highlight w:val="yellow"/>
        </w:rPr>
        <w:t>MWh</w:t>
      </w:r>
      <w:proofErr w:type="spellEnd"/>
      <w:r w:rsidRPr="002B1436">
        <w:rPr>
          <w:rFonts w:cs="Arial"/>
          <w:highlight w:val="yellow"/>
        </w:rPr>
        <w:t xml:space="preserve"> onsite </w:t>
      </w:r>
      <w:r w:rsidR="00CB1AAD" w:rsidRPr="002B1436">
        <w:rPr>
          <w:rFonts w:cs="Arial"/>
          <w:highlight w:val="yellow"/>
        </w:rPr>
        <w:t xml:space="preserve">wind </w:t>
      </w:r>
      <w:r w:rsidRPr="002B1436">
        <w:rPr>
          <w:rFonts w:cs="Arial"/>
          <w:highlight w:val="yellow"/>
        </w:rPr>
        <w:t xml:space="preserve">backed by </w:t>
      </w:r>
      <w:r w:rsidR="00023DF9" w:rsidRPr="002B1436">
        <w:rPr>
          <w:rFonts w:cs="Arial"/>
          <w:highlight w:val="yellow"/>
        </w:rPr>
        <w:t>REGOs</w:t>
      </w:r>
      <w:r w:rsidR="00446A57" w:rsidRPr="002B1436">
        <w:rPr>
          <w:rFonts w:cs="Arial"/>
          <w:highlight w:val="yellow"/>
        </w:rPr>
        <w:t>.</w:t>
      </w:r>
    </w:p>
    <w:p w:rsidR="00013A84" w:rsidRDefault="00913351" w:rsidP="002B1436">
      <w:pPr>
        <w:tabs>
          <w:tab w:val="left" w:pos="7080"/>
        </w:tabs>
        <w:rPr>
          <w:rFonts w:cs="Arial"/>
          <w:bCs/>
        </w:rPr>
      </w:pPr>
      <w:r w:rsidRPr="002B1436">
        <w:rPr>
          <w:rFonts w:cs="Arial"/>
          <w:b/>
          <w:highlight w:val="yellow"/>
        </w:rPr>
        <w:t>Electricity exported to the grid:</w:t>
      </w:r>
      <w:r w:rsidRPr="002B1436">
        <w:rPr>
          <w:rFonts w:cs="Arial"/>
          <w:highlight w:val="yellow"/>
        </w:rPr>
        <w:t xml:space="preserve"> 40 </w:t>
      </w:r>
      <w:proofErr w:type="spellStart"/>
      <w:r w:rsidRPr="002B1436">
        <w:rPr>
          <w:rFonts w:cs="Arial"/>
          <w:highlight w:val="yellow"/>
        </w:rPr>
        <w:t>MWh</w:t>
      </w:r>
      <w:proofErr w:type="spellEnd"/>
      <w:r w:rsidRPr="002B1436">
        <w:rPr>
          <w:rFonts w:cs="Arial"/>
          <w:bCs/>
          <w:highlight w:val="yellow"/>
        </w:rPr>
        <w:t xml:space="preserve"> </w:t>
      </w:r>
      <w:r w:rsidR="00446A57" w:rsidRPr="002B1436">
        <w:rPr>
          <w:rFonts w:cs="Arial"/>
          <w:bCs/>
          <w:highlight w:val="yellow"/>
        </w:rPr>
        <w:t>backed by REGOs.</w:t>
      </w:r>
      <w:r w:rsidR="000A3F0F" w:rsidRPr="002B1436">
        <w:rPr>
          <w:rFonts w:cs="Arial"/>
          <w:bCs/>
          <w:highlight w:val="yellow"/>
        </w:rPr>
        <w:t xml:space="preserve"> </w:t>
      </w:r>
      <w:r w:rsidRPr="002B1436">
        <w:rPr>
          <w:rFonts w:cs="Arial"/>
          <w:bCs/>
          <w:highlight w:val="yellow"/>
        </w:rPr>
        <w:t xml:space="preserve">We have exported electricity from on-site wind turbines to the grid. We have multiplied the amount of electricity, which is backed by REGOs, by the </w:t>
      </w:r>
      <w:r w:rsidR="001137A1" w:rsidRPr="002B1436">
        <w:rPr>
          <w:rFonts w:cs="Arial"/>
          <w:bCs/>
          <w:highlight w:val="yellow"/>
        </w:rPr>
        <w:t xml:space="preserve">grid average </w:t>
      </w:r>
      <w:r w:rsidRPr="002B1436">
        <w:rPr>
          <w:rFonts w:cs="Arial"/>
          <w:bCs/>
          <w:highlight w:val="yellow"/>
        </w:rPr>
        <w:t xml:space="preserve">emissions factor and </w:t>
      </w:r>
      <w:r w:rsidR="00446A57" w:rsidRPr="002B1436">
        <w:rPr>
          <w:rFonts w:cs="Arial"/>
          <w:bCs/>
          <w:highlight w:val="yellow"/>
        </w:rPr>
        <w:t>shown this as an avoided emissions figure in the summary table.</w:t>
      </w:r>
      <w:r w:rsidR="00446A57" w:rsidRPr="00E17B6B" w:rsidDel="00446A57">
        <w:rPr>
          <w:rFonts w:cs="Arial"/>
          <w:bCs/>
        </w:rPr>
        <w:t xml:space="preserve"> </w:t>
      </w:r>
    </w:p>
    <w:p w:rsidR="00913351" w:rsidRPr="006A6CE3" w:rsidRDefault="00913351" w:rsidP="007944B7">
      <w:pPr>
        <w:rPr>
          <w:rFonts w:cs="Arial"/>
          <w:b/>
          <w:color w:val="76923C"/>
          <w:sz w:val="28"/>
          <w:szCs w:val="28"/>
        </w:rPr>
      </w:pPr>
      <w:r w:rsidRPr="006A6CE3">
        <w:rPr>
          <w:rFonts w:cs="Arial"/>
          <w:b/>
          <w:color w:val="76923C"/>
          <w:sz w:val="28"/>
          <w:szCs w:val="28"/>
        </w:rPr>
        <w:t>Heat Generation</w:t>
      </w:r>
    </w:p>
    <w:p w:rsidR="00913351" w:rsidRPr="006A6CE3" w:rsidRDefault="00913351" w:rsidP="007944B7">
      <w:pPr>
        <w:rPr>
          <w:rFonts w:cs="Arial"/>
        </w:rPr>
      </w:pPr>
      <w:r w:rsidRPr="006A6CE3">
        <w:rPr>
          <w:rFonts w:cs="Arial"/>
        </w:rPr>
        <w:t>We have not generated any heat.</w:t>
      </w:r>
    </w:p>
    <w:p w:rsidR="00913351" w:rsidRPr="006A6CE3" w:rsidRDefault="00913351" w:rsidP="00EA5B43">
      <w:pPr>
        <w:pStyle w:val="Heading2"/>
        <w:rPr>
          <w:lang w:eastAsia="en-GB"/>
        </w:rPr>
      </w:pPr>
      <w:r w:rsidRPr="006A6CE3">
        <w:rPr>
          <w:lang w:eastAsia="en-GB"/>
        </w:rPr>
        <w:br w:type="page"/>
      </w:r>
      <w:bookmarkStart w:id="341" w:name="_Toc358054601"/>
      <w:bookmarkStart w:id="342" w:name="_Toc358060241"/>
      <w:bookmarkStart w:id="343" w:name="_Toc358302314"/>
      <w:bookmarkStart w:id="344" w:name="_Toc380763594"/>
      <w:r w:rsidRPr="006A6CE3">
        <w:rPr>
          <w:lang w:eastAsia="en-GB"/>
        </w:rPr>
        <w:lastRenderedPageBreak/>
        <w:t>Annex I: Water</w:t>
      </w:r>
      <w:bookmarkEnd w:id="341"/>
      <w:bookmarkEnd w:id="342"/>
      <w:bookmarkEnd w:id="343"/>
      <w:bookmarkEnd w:id="344"/>
    </w:p>
    <w:p w:rsidR="00913351" w:rsidRPr="006A6CE3" w:rsidRDefault="00913351" w:rsidP="007944B7">
      <w:pPr>
        <w:rPr>
          <w:rFonts w:cs="Arial"/>
        </w:rPr>
      </w:pPr>
      <w:r w:rsidRPr="006A6CE3">
        <w:rPr>
          <w:rFonts w:cs="Arial"/>
        </w:rPr>
        <w:t>It is important to distinguish whether the water used is from a region under water stress or one where supplies are abundant, as this has implications of the risk levels to your business. Water-stress is caused by physical</w:t>
      </w:r>
      <w:r w:rsidRPr="006A6CE3">
        <w:rPr>
          <w:rStyle w:val="FootnoteReference"/>
          <w:rFonts w:cs="Arial"/>
        </w:rPr>
        <w:footnoteReference w:id="105"/>
      </w:r>
      <w:r w:rsidRPr="006A6CE3">
        <w:rPr>
          <w:rFonts w:cs="Arial"/>
        </w:rPr>
        <w:t xml:space="preserve"> and/or economic</w:t>
      </w:r>
      <w:r w:rsidRPr="006A6CE3">
        <w:rPr>
          <w:rStyle w:val="FootnoteReference"/>
          <w:rFonts w:cs="Arial"/>
        </w:rPr>
        <w:footnoteReference w:id="106"/>
      </w:r>
      <w:r w:rsidRPr="006A6CE3">
        <w:rPr>
          <w:rFonts w:cs="Arial"/>
        </w:rPr>
        <w:t xml:space="preserve"> water-scarcity. </w:t>
      </w:r>
    </w:p>
    <w:p w:rsidR="00913351" w:rsidRPr="006A6CE3" w:rsidRDefault="00913351" w:rsidP="00E204D9">
      <w:pPr>
        <w:pStyle w:val="Heading4"/>
        <w:rPr>
          <w:rFonts w:cs="Arial"/>
          <w:i w:val="0"/>
          <w:color w:val="76923C"/>
          <w:sz w:val="28"/>
          <w:szCs w:val="28"/>
          <w:lang w:eastAsia="en-GB"/>
        </w:rPr>
      </w:pPr>
      <w:r w:rsidRPr="006A6CE3">
        <w:rPr>
          <w:rFonts w:cs="Arial"/>
          <w:i w:val="0"/>
          <w:color w:val="76923C"/>
          <w:sz w:val="28"/>
          <w:szCs w:val="28"/>
          <w:lang w:eastAsia="en-GB"/>
        </w:rPr>
        <w:t>Physical risk</w:t>
      </w:r>
    </w:p>
    <w:p w:rsidR="00913351" w:rsidRPr="006A6CE3" w:rsidRDefault="00913351" w:rsidP="007944B7">
      <w:pPr>
        <w:rPr>
          <w:rFonts w:cs="Arial"/>
          <w:lang w:eastAsia="en-GB"/>
        </w:rPr>
      </w:pPr>
      <w:r w:rsidRPr="006A6CE3">
        <w:rPr>
          <w:rFonts w:cs="Arial"/>
          <w:lang w:eastAsia="en-GB"/>
        </w:rPr>
        <w:t xml:space="preserve">A lack of freshwater can limit your operations, raw material supply, and product use in a variety of ways. Reductions or disruptions in water supply can undermine industrial operations where water is needed for production, irrigation, material processing, cooling, and cleaning. Clean water is critical to many industrial processes, and lack of it can present a range of costs. A contaminated water supply often requires additional investment and costs for pre-treatment. When alternative sources of water or treatment options are not physically or financially feasible, operations may be disrupted or require relocation. Industrial expansion may also be constrained in regions where the water supply is already contaminated or at risk of contamination. </w:t>
      </w:r>
    </w:p>
    <w:p w:rsidR="00913351" w:rsidRPr="006A6CE3" w:rsidRDefault="00913351" w:rsidP="007944B7">
      <w:pPr>
        <w:rPr>
          <w:rFonts w:cs="Arial"/>
        </w:rPr>
      </w:pPr>
      <w:r w:rsidRPr="006A6CE3">
        <w:rPr>
          <w:rFonts w:cs="Arial"/>
          <w:lang w:eastAsia="en-GB"/>
        </w:rPr>
        <w:t xml:space="preserve">Many businesses also fail to recognise water demands embedded across their supply chain. For example, water supply risks are often hidden in companies’ raw material inputs or in the inputs of intermediate suppliers or downstream. </w:t>
      </w:r>
      <w:r w:rsidRPr="006A6CE3">
        <w:rPr>
          <w:rFonts w:cs="Arial"/>
        </w:rPr>
        <w:t xml:space="preserve">Information and general guidance on how your business can improve its water efficiency can be found at </w:t>
      </w:r>
      <w:hyperlink r:id="rId82" w:history="1">
        <w:r w:rsidRPr="006A6CE3">
          <w:rPr>
            <w:rStyle w:val="Hyperlink"/>
            <w:rFonts w:cs="Arial"/>
          </w:rPr>
          <w:t>http://www.wrap.org.uk/</w:t>
        </w:r>
      </w:hyperlink>
      <w:r w:rsidRPr="006A6CE3">
        <w:rPr>
          <w:rFonts w:cs="Arial"/>
        </w:rPr>
        <w:t xml:space="preserve"> </w:t>
      </w:r>
    </w:p>
    <w:p w:rsidR="00913351" w:rsidRPr="006A6CE3" w:rsidRDefault="00913351" w:rsidP="00E204D9">
      <w:pPr>
        <w:pStyle w:val="Heading4"/>
        <w:rPr>
          <w:rFonts w:cs="Arial"/>
          <w:i w:val="0"/>
          <w:color w:val="76923C"/>
          <w:sz w:val="28"/>
          <w:szCs w:val="28"/>
          <w:lang w:eastAsia="en-GB"/>
        </w:rPr>
      </w:pPr>
      <w:r w:rsidRPr="006A6CE3">
        <w:rPr>
          <w:rFonts w:cs="Arial"/>
          <w:lang w:eastAsia="en-GB"/>
        </w:rPr>
        <w:t xml:space="preserve"> </w:t>
      </w:r>
      <w:r w:rsidRPr="006A6CE3">
        <w:rPr>
          <w:rFonts w:cs="Arial"/>
          <w:i w:val="0"/>
          <w:color w:val="76923C"/>
          <w:sz w:val="28"/>
          <w:szCs w:val="28"/>
          <w:lang w:eastAsia="en-GB"/>
        </w:rPr>
        <w:t>Reputational Risks</w:t>
      </w:r>
    </w:p>
    <w:p w:rsidR="00913351" w:rsidRPr="006A6CE3" w:rsidRDefault="00913351" w:rsidP="007944B7">
      <w:pPr>
        <w:rPr>
          <w:rFonts w:cs="Arial"/>
          <w:lang w:eastAsia="en-GB"/>
        </w:rPr>
      </w:pPr>
      <w:r w:rsidRPr="006A6CE3">
        <w:rPr>
          <w:rFonts w:cs="Arial"/>
          <w:lang w:eastAsia="en-GB"/>
        </w:rPr>
        <w:t>Constraints on water resources can make your business more susceptible to reputational risks. Declines in water availability and quality can increase competition for clean water, giving rise to tensions between businesses and local communities, particularly in developing countries where local populations often lack access to safe and reliable drinking water. Community opposition to industrial water withdrawals and perceived or real inequalities in use can emerge quickly and affect business profoundly. Local conflicts can damage brand image or even result in the loss of a company’s license to operate. The concept of “access to clean water as a human right” is gaining more recognition globally, with multinational companies like PepsiCo adopting a companywide policy in support of the human right to water.</w:t>
      </w:r>
    </w:p>
    <w:p w:rsidR="00913351" w:rsidRPr="006A6CE3" w:rsidRDefault="00913351" w:rsidP="00E204D9">
      <w:pPr>
        <w:pStyle w:val="Heading4"/>
        <w:rPr>
          <w:rFonts w:cs="Arial"/>
          <w:i w:val="0"/>
          <w:color w:val="76923C"/>
          <w:sz w:val="28"/>
          <w:szCs w:val="28"/>
          <w:lang w:eastAsia="en-GB"/>
        </w:rPr>
      </w:pPr>
      <w:r w:rsidRPr="006A6CE3">
        <w:rPr>
          <w:rFonts w:cs="Arial"/>
          <w:i w:val="0"/>
          <w:color w:val="76923C"/>
          <w:sz w:val="28"/>
          <w:szCs w:val="28"/>
          <w:lang w:eastAsia="en-GB"/>
        </w:rPr>
        <w:lastRenderedPageBreak/>
        <w:t>Regulatory Risks</w:t>
      </w:r>
    </w:p>
    <w:p w:rsidR="00913351" w:rsidRPr="006A6CE3" w:rsidRDefault="00913351" w:rsidP="00E204D9">
      <w:pPr>
        <w:spacing w:line="240" w:lineRule="auto"/>
        <w:rPr>
          <w:rFonts w:cs="Arial"/>
          <w:lang w:eastAsia="en-GB"/>
        </w:rPr>
      </w:pPr>
      <w:r w:rsidRPr="006A6CE3">
        <w:rPr>
          <w:rFonts w:cs="Arial"/>
          <w:lang w:eastAsia="en-GB"/>
        </w:rPr>
        <w:t>Physical and reputational pressures are increasingly resulting in more stringent local and national water policies that, if unanticipated, can raise costs and limit industrial activity.</w:t>
      </w:r>
    </w:p>
    <w:p w:rsidR="00913351" w:rsidRPr="006A6CE3" w:rsidRDefault="00913351" w:rsidP="007944B7">
      <w:pPr>
        <w:rPr>
          <w:rFonts w:cs="Arial"/>
          <w:lang w:eastAsia="en-GB"/>
        </w:rPr>
      </w:pPr>
      <w:r w:rsidRPr="006A6CE3">
        <w:rPr>
          <w:rFonts w:cs="Arial"/>
          <w:lang w:eastAsia="en-GB"/>
        </w:rPr>
        <w:t>Water scarcity, coupled with increased concern among local communities about corporate water withdrawals and water pollution, puts pressure on local authorities to consider changes in water allocations or caps on water use, increase water prices, set new permit standards, reduce permit availabilities, and develop more stringent wastewater quality standards. Businesses operating in the European Union are facing growing pressure to reduce water pollution in response to the EU’s Water Framework Directive</w:t>
      </w:r>
      <w:r w:rsidRPr="006A6CE3">
        <w:rPr>
          <w:rStyle w:val="FootnoteReference"/>
          <w:rFonts w:cs="Arial"/>
          <w:lang w:eastAsia="en-GB"/>
        </w:rPr>
        <w:footnoteReference w:id="107"/>
      </w:r>
      <w:r w:rsidRPr="006A6CE3">
        <w:rPr>
          <w:rFonts w:cs="Arial"/>
          <w:lang w:eastAsia="en-GB"/>
        </w:rPr>
        <w:t>. Enacted in 2000, the directive takes an integrated, water basin-based approach, and commits EU member states to achieving high water quality conditions for all water bodies by 2015. The Environment Agency, SEPA and DOENI are the UK enforcement agencies for this.</w:t>
      </w:r>
    </w:p>
    <w:p w:rsidR="00913351" w:rsidRPr="006A6CE3" w:rsidRDefault="00913351" w:rsidP="00E204D9">
      <w:pPr>
        <w:pStyle w:val="Heading4"/>
        <w:rPr>
          <w:rFonts w:cs="Arial"/>
          <w:i w:val="0"/>
          <w:color w:val="76923C"/>
          <w:sz w:val="28"/>
          <w:szCs w:val="28"/>
          <w:lang w:eastAsia="en-GB"/>
        </w:rPr>
      </w:pPr>
      <w:r w:rsidRPr="006A6CE3">
        <w:rPr>
          <w:rFonts w:cs="Arial"/>
          <w:i w:val="0"/>
          <w:color w:val="76923C"/>
          <w:sz w:val="28"/>
          <w:szCs w:val="28"/>
          <w:lang w:eastAsia="en-GB"/>
        </w:rPr>
        <w:t>Litigation Risks</w:t>
      </w:r>
    </w:p>
    <w:p w:rsidR="00913351" w:rsidRPr="006A6CE3" w:rsidRDefault="00913351" w:rsidP="007944B7">
      <w:pPr>
        <w:rPr>
          <w:rFonts w:cs="Arial"/>
          <w:lang w:eastAsia="en-GB"/>
        </w:rPr>
      </w:pPr>
      <w:r w:rsidRPr="006A6CE3">
        <w:rPr>
          <w:rFonts w:cs="Arial"/>
          <w:lang w:eastAsia="en-GB"/>
        </w:rPr>
        <w:t>With increased attention from regulators and communities on water scarcity, businesses face growing risks stemming from lawsuits or other legal actions responding to the impacts of a company’s operations or products on water supplies.</w:t>
      </w:r>
    </w:p>
    <w:p w:rsidR="00913351" w:rsidRPr="006A6CE3" w:rsidRDefault="00913351" w:rsidP="00E204D9">
      <w:pPr>
        <w:pStyle w:val="Heading4"/>
        <w:rPr>
          <w:rFonts w:cs="Arial"/>
          <w:i w:val="0"/>
          <w:color w:val="76923C"/>
          <w:sz w:val="28"/>
          <w:szCs w:val="28"/>
          <w:lang w:eastAsia="en-GB"/>
        </w:rPr>
      </w:pPr>
      <w:r w:rsidRPr="006A6CE3">
        <w:rPr>
          <w:rFonts w:cs="Arial"/>
          <w:i w:val="0"/>
          <w:color w:val="76923C"/>
          <w:sz w:val="28"/>
          <w:szCs w:val="28"/>
          <w:lang w:eastAsia="en-GB"/>
        </w:rPr>
        <w:t xml:space="preserve">Other Information  </w:t>
      </w:r>
    </w:p>
    <w:p w:rsidR="00913351" w:rsidRPr="006A6CE3" w:rsidRDefault="00913351" w:rsidP="007944B7">
      <w:pPr>
        <w:rPr>
          <w:rFonts w:cs="Arial"/>
          <w:lang w:eastAsia="en-GB"/>
        </w:rPr>
      </w:pPr>
      <w:r w:rsidRPr="006A6CE3">
        <w:rPr>
          <w:rFonts w:cs="Arial"/>
        </w:rPr>
        <w:t xml:space="preserve">How your business manages its water use is also crucial to ensuring the effects your business has on biodiversity and ecosystem services are minimal. As part of your environmental strategy you need to consider the impact your use of water has on the environment and plan accordingly to ensure that any impacts are taken into account and managed. </w:t>
      </w:r>
    </w:p>
    <w:p w:rsidR="00913351" w:rsidRPr="006A6CE3" w:rsidRDefault="00913351" w:rsidP="00E204D9">
      <w:pPr>
        <w:pStyle w:val="Heading4"/>
        <w:rPr>
          <w:rFonts w:cs="Arial"/>
          <w:i w:val="0"/>
          <w:color w:val="76923C"/>
          <w:sz w:val="28"/>
          <w:szCs w:val="28"/>
        </w:rPr>
      </w:pPr>
      <w:r w:rsidRPr="006A6CE3">
        <w:rPr>
          <w:rFonts w:cs="Arial"/>
          <w:i w:val="0"/>
          <w:color w:val="76923C"/>
          <w:sz w:val="28"/>
          <w:szCs w:val="28"/>
          <w:lang w:eastAsia="en-GB"/>
        </w:rPr>
        <w:t>Source of water: Mains (Supplied) and Abstracted</w:t>
      </w:r>
    </w:p>
    <w:p w:rsidR="00913351" w:rsidRPr="006A6CE3" w:rsidRDefault="00913351" w:rsidP="007944B7">
      <w:pPr>
        <w:rPr>
          <w:rFonts w:cs="Arial"/>
        </w:rPr>
      </w:pPr>
      <w:r w:rsidRPr="006A6CE3">
        <w:rPr>
          <w:rFonts w:cs="Arial"/>
        </w:rPr>
        <w:t xml:space="preserve">Nearly every business is supplied with water, and the quantity of this water use can usually be easily measured. However, it is important to distinguish between water abstracted directly from the environment from that supplied by a water company. Most business will use mains water. The environmental impacts associated with mains water use are indirect and need to be viewed up and down the supply chain of your business. The questions </w:t>
      </w:r>
      <w:hyperlink w:anchor="Indicators_supply_chain_risks" w:history="1">
        <w:r w:rsidRPr="00036BC8">
          <w:rPr>
            <w:rStyle w:val="Hyperlink"/>
            <w:rFonts w:cs="Arial"/>
          </w:rPr>
          <w:t>below</w:t>
        </w:r>
      </w:hyperlink>
      <w:r w:rsidRPr="006A6CE3">
        <w:rPr>
          <w:rFonts w:cs="Arial"/>
        </w:rPr>
        <w:t xml:space="preserve"> explore this further. </w:t>
      </w:r>
    </w:p>
    <w:p w:rsidR="00913351" w:rsidRPr="006A6CE3" w:rsidRDefault="00913351" w:rsidP="007944B7">
      <w:pPr>
        <w:rPr>
          <w:rFonts w:cs="Arial"/>
        </w:rPr>
      </w:pPr>
      <w:r w:rsidRPr="006A6CE3">
        <w:rPr>
          <w:rFonts w:cs="Arial"/>
        </w:rPr>
        <w:t>When understanding your business you need to be aware of any obligations or instruments related to water, both financial and legislative, that you are required to comply with and report accordingly, as should your supply chain</w:t>
      </w:r>
    </w:p>
    <w:p w:rsidR="00913351" w:rsidRPr="006A6CE3" w:rsidRDefault="00913351" w:rsidP="007944B7">
      <w:pPr>
        <w:rPr>
          <w:rFonts w:cs="Arial"/>
        </w:rPr>
      </w:pPr>
      <w:r w:rsidRPr="006A6CE3">
        <w:rPr>
          <w:rFonts w:cs="Arial"/>
        </w:rPr>
        <w:lastRenderedPageBreak/>
        <w:t xml:space="preserve">Abstraction of water can have significant local and widespread impacts on the environment and can be abstracted for a wide variety of uses.  </w:t>
      </w:r>
    </w:p>
    <w:p w:rsidR="00913351" w:rsidRPr="006A6CE3" w:rsidRDefault="00913351" w:rsidP="00E204D9">
      <w:pPr>
        <w:pStyle w:val="Heading4"/>
        <w:rPr>
          <w:rFonts w:cs="Arial"/>
          <w:i w:val="0"/>
          <w:color w:val="76923C"/>
          <w:sz w:val="28"/>
          <w:szCs w:val="28"/>
        </w:rPr>
      </w:pPr>
      <w:r w:rsidRPr="006A6CE3">
        <w:rPr>
          <w:rFonts w:cs="Arial"/>
          <w:i w:val="0"/>
          <w:color w:val="76923C"/>
          <w:sz w:val="28"/>
          <w:szCs w:val="28"/>
        </w:rPr>
        <w:t xml:space="preserve">Water use in your supply chain and global risks  </w:t>
      </w:r>
    </w:p>
    <w:p w:rsidR="00913351" w:rsidRPr="006A6CE3" w:rsidRDefault="00913351" w:rsidP="007944B7">
      <w:pPr>
        <w:rPr>
          <w:rFonts w:cs="Arial"/>
        </w:rPr>
      </w:pPr>
      <w:r w:rsidRPr="006A6CE3">
        <w:rPr>
          <w:rFonts w:cs="Arial"/>
        </w:rPr>
        <w:t xml:space="preserve">For many UK businesses, the main risks to water use aren’t necessarily within the UK - but often in their overseas operations or global supply chains where materials, goods or services are imported from areas vulnerable to drought, pollution or flooding.  </w:t>
      </w:r>
    </w:p>
    <w:p w:rsidR="00913351" w:rsidRPr="006A6CE3" w:rsidRDefault="00913351" w:rsidP="007944B7">
      <w:pPr>
        <w:rPr>
          <w:rFonts w:cs="Arial"/>
        </w:rPr>
      </w:pPr>
      <w:r w:rsidRPr="006A6CE3">
        <w:rPr>
          <w:rFonts w:cs="Arial"/>
        </w:rPr>
        <w:t>WWF’s 2008 UK’s Water Footprint Report showed that around 62% of the UK’s total “water footprint” comes from imported products.</w:t>
      </w:r>
      <w:r w:rsidRPr="006A6CE3">
        <w:rPr>
          <w:rStyle w:val="FootnoteReference"/>
          <w:rFonts w:cs="Arial"/>
        </w:rPr>
        <w:footnoteReference w:id="108"/>
      </w:r>
      <w:r w:rsidRPr="006A6CE3">
        <w:rPr>
          <w:rFonts w:cs="Arial"/>
        </w:rPr>
        <w:t xml:space="preserve">   While many companies are well prepared to manage their direct water risk, disruptions that occur in supply chains are often much harder to understand and quantify.  According to CDP’s Water Disclosure Global Report 2011, the awareness of risk in the supply chain was much lower than in direct operations (27% compared to 55%).  And while 82% of respondents were taking direct action to manage water in their direct operations, a much smaller figure (41%) reported taking action in their supply chain and watershed management.</w:t>
      </w:r>
      <w:r w:rsidRPr="006A6CE3">
        <w:rPr>
          <w:rStyle w:val="FootnoteReference"/>
          <w:rFonts w:cs="Arial"/>
        </w:rPr>
        <w:footnoteReference w:id="109"/>
      </w:r>
      <w:r w:rsidRPr="006A6CE3">
        <w:rPr>
          <w:rFonts w:cs="Arial"/>
        </w:rPr>
        <w:t xml:space="preserve">Given the UK’s reliance on “imported water”, it is important for individual companies and for the UK as a whole, to better understand these global risks.  </w:t>
      </w:r>
    </w:p>
    <w:p w:rsidR="00913351" w:rsidRPr="006A6CE3" w:rsidRDefault="00913351" w:rsidP="00E204D9">
      <w:pPr>
        <w:pStyle w:val="Heading5"/>
        <w:rPr>
          <w:rFonts w:cs="Arial"/>
          <w:i w:val="0"/>
          <w:color w:val="76923C"/>
          <w:sz w:val="28"/>
          <w:szCs w:val="28"/>
        </w:rPr>
      </w:pPr>
      <w:r w:rsidRPr="006A6CE3">
        <w:rPr>
          <w:rFonts w:cs="Arial"/>
          <w:i w:val="0"/>
          <w:color w:val="76923C"/>
          <w:sz w:val="28"/>
          <w:szCs w:val="28"/>
        </w:rPr>
        <w:t>Tools to assess supply chain/global risks</w:t>
      </w:r>
    </w:p>
    <w:p w:rsidR="00913351" w:rsidRPr="006A6CE3" w:rsidRDefault="00913351" w:rsidP="007944B7">
      <w:pPr>
        <w:rPr>
          <w:rFonts w:cs="Arial"/>
          <w:b/>
        </w:rPr>
      </w:pPr>
      <w:r w:rsidRPr="006A6CE3">
        <w:rPr>
          <w:rFonts w:cs="Arial"/>
        </w:rPr>
        <w:t>International methods and standards used to assess and report the impacts of water use across supply chains are less advanced or accepted than for carbon but there are a range of tools that can help you identify any potential risks within your supply chain for example:</w:t>
      </w:r>
      <w:r w:rsidRPr="006A6CE3">
        <w:rPr>
          <w:rFonts w:cs="Arial"/>
          <w:b/>
        </w:rPr>
        <w:t xml:space="preserve"> </w:t>
      </w:r>
    </w:p>
    <w:p w:rsidR="00913351" w:rsidRPr="006A6CE3" w:rsidRDefault="00913351" w:rsidP="0086258B">
      <w:pPr>
        <w:numPr>
          <w:ilvl w:val="0"/>
          <w:numId w:val="65"/>
        </w:numPr>
        <w:rPr>
          <w:rFonts w:cs="Arial"/>
          <w:color w:val="FFFFFF"/>
          <w:lang w:eastAsia="en-GB"/>
        </w:rPr>
      </w:pPr>
      <w:r w:rsidRPr="006A6CE3">
        <w:rPr>
          <w:rFonts w:cs="Arial"/>
          <w:b/>
        </w:rPr>
        <w:t xml:space="preserve">CDP Water Disclosure </w:t>
      </w:r>
      <w:r w:rsidRPr="006A6CE3">
        <w:rPr>
          <w:rFonts w:cs="Arial"/>
        </w:rPr>
        <w:t xml:space="preserve">provides a platform for companies to respond voluntarily to a structured questionnaire regarding water which helps businesses build internal capacity for water reporting. Further details can be found on the  </w:t>
      </w:r>
      <w:hyperlink r:id="rId83" w:history="1">
        <w:r w:rsidRPr="006A6CE3">
          <w:rPr>
            <w:rStyle w:val="Hyperlink"/>
            <w:rFonts w:cs="Arial"/>
          </w:rPr>
          <w:t>CDP website</w:t>
        </w:r>
      </w:hyperlink>
      <w:r w:rsidRPr="006A6CE3">
        <w:rPr>
          <w:rStyle w:val="FootnoteReference"/>
          <w:rFonts w:cs="Arial"/>
        </w:rPr>
        <w:t xml:space="preserve"> </w:t>
      </w:r>
      <w:r w:rsidRPr="006A6CE3">
        <w:rPr>
          <w:rStyle w:val="FootnoteReference"/>
          <w:rFonts w:cs="Arial"/>
        </w:rPr>
        <w:footnoteReference w:id="110"/>
      </w:r>
    </w:p>
    <w:p w:rsidR="00913351" w:rsidRPr="006A6CE3" w:rsidRDefault="00913351" w:rsidP="0086258B">
      <w:pPr>
        <w:numPr>
          <w:ilvl w:val="0"/>
          <w:numId w:val="65"/>
        </w:numPr>
        <w:rPr>
          <w:rFonts w:cs="Arial"/>
          <w:color w:val="FFFFFF"/>
          <w:lang w:eastAsia="en-GB"/>
        </w:rPr>
      </w:pPr>
      <w:r w:rsidRPr="006A6CE3">
        <w:rPr>
          <w:rFonts w:cs="Arial"/>
          <w:b/>
        </w:rPr>
        <w:t xml:space="preserve">Global Reporting Initiative. </w:t>
      </w:r>
      <w:r w:rsidRPr="006A6CE3">
        <w:rPr>
          <w:rFonts w:cs="Arial"/>
        </w:rPr>
        <w:t xml:space="preserve">GRI provides a management and disclosures approach to water in its guidelines (EN8, EN9, EN10, EN21 and EN25). Further details can be found on the </w:t>
      </w:r>
      <w:hyperlink r:id="rId84" w:history="1">
        <w:r w:rsidRPr="006A6CE3">
          <w:rPr>
            <w:rStyle w:val="Hyperlink"/>
            <w:rFonts w:cs="Arial"/>
          </w:rPr>
          <w:t>GRI protocols guidance</w:t>
        </w:r>
      </w:hyperlink>
      <w:r w:rsidRPr="006A6CE3">
        <w:rPr>
          <w:rStyle w:val="FootnoteReference"/>
          <w:rFonts w:cs="Arial"/>
        </w:rPr>
        <w:footnoteReference w:id="111"/>
      </w:r>
    </w:p>
    <w:p w:rsidR="00913351" w:rsidRPr="006A6CE3" w:rsidRDefault="00913351" w:rsidP="0086258B">
      <w:pPr>
        <w:numPr>
          <w:ilvl w:val="0"/>
          <w:numId w:val="65"/>
        </w:numPr>
        <w:rPr>
          <w:rFonts w:cs="Arial"/>
          <w:color w:val="FFFFFF"/>
          <w:lang w:eastAsia="en-GB"/>
        </w:rPr>
      </w:pPr>
      <w:r w:rsidRPr="006A6CE3">
        <w:rPr>
          <w:rFonts w:cs="Arial"/>
          <w:b/>
          <w:lang w:eastAsia="en-GB"/>
        </w:rPr>
        <w:t>WBCSD's Global Water Tool</w:t>
      </w:r>
      <w:r w:rsidRPr="006A6CE3">
        <w:rPr>
          <w:rFonts w:cs="Arial"/>
          <w:lang w:eastAsia="en-GB"/>
        </w:rPr>
        <w:t xml:space="preserve"> can assist companies in estimating the percentage of their own operations and supply chain located in water-stressed regions (i.e. where availability does not meet demand). This web-based software allows companies to identify sites in water-stressed areas, identify how many employees live in countries that lack access to improved water and sanitation, and to identify suppliers in water-stressed areas. Please note that this tool provides an </w:t>
      </w:r>
      <w:r w:rsidRPr="006A6CE3">
        <w:rPr>
          <w:rFonts w:cs="Arial"/>
          <w:lang w:eastAsia="en-GB"/>
        </w:rPr>
        <w:lastRenderedPageBreak/>
        <w:t xml:space="preserve">assessment of risks related to water availability and does not consider risks associated with water quality and discharges. Access to the tool and additional information is available in the </w:t>
      </w:r>
      <w:hyperlink r:id="rId85" w:tgtFrame="_blank" w:history="1">
        <w:r w:rsidRPr="006A6CE3">
          <w:rPr>
            <w:rFonts w:cs="Arial"/>
            <w:color w:val="1E09B7"/>
            <w:u w:val="single"/>
            <w:lang w:eastAsia="en-GB"/>
          </w:rPr>
          <w:t>WBCSD website</w:t>
        </w:r>
      </w:hyperlink>
      <w:r w:rsidRPr="006A6CE3">
        <w:rPr>
          <w:rFonts w:cs="Arial"/>
          <w:lang w:eastAsia="en-GB"/>
        </w:rPr>
        <w:t>.</w:t>
      </w:r>
      <w:r w:rsidRPr="006A6CE3">
        <w:rPr>
          <w:rStyle w:val="FootnoteReference"/>
          <w:rFonts w:cs="Arial"/>
          <w:lang w:eastAsia="en-GB"/>
        </w:rPr>
        <w:footnoteReference w:id="112"/>
      </w:r>
    </w:p>
    <w:p w:rsidR="00913351" w:rsidRPr="006A6CE3" w:rsidRDefault="00913351" w:rsidP="0086258B">
      <w:pPr>
        <w:numPr>
          <w:ilvl w:val="0"/>
          <w:numId w:val="65"/>
        </w:numPr>
        <w:rPr>
          <w:rFonts w:cs="Arial"/>
          <w:color w:val="FFFFFF"/>
          <w:lang w:eastAsia="en-GB"/>
        </w:rPr>
      </w:pPr>
      <w:r w:rsidRPr="006A6CE3">
        <w:rPr>
          <w:rFonts w:cs="Arial"/>
          <w:b/>
          <w:lang w:eastAsia="en-GB"/>
        </w:rPr>
        <w:t xml:space="preserve">Global Environmental Management Initiative’s (GEMI) Water Sustainability Tool </w:t>
      </w:r>
      <w:r w:rsidRPr="006A6CE3">
        <w:rPr>
          <w:rFonts w:cs="Arial"/>
          <w:lang w:eastAsia="en-GB"/>
        </w:rPr>
        <w:t xml:space="preserve">developed to help business understand their opportunities and risks related to water – and help tailor a strategy to manage and track performance.  The tool provides guidance to enable companies to understand risk rather than specific quantified indicators and is a useful tool. Access to the tool is available on the </w:t>
      </w:r>
      <w:hyperlink r:id="rId86" w:history="1">
        <w:r w:rsidRPr="006A6CE3">
          <w:rPr>
            <w:rStyle w:val="Hyperlink"/>
            <w:rFonts w:cs="Arial"/>
            <w:lang w:eastAsia="en-GB"/>
          </w:rPr>
          <w:t>GEMI website</w:t>
        </w:r>
      </w:hyperlink>
      <w:r w:rsidRPr="006A6CE3">
        <w:rPr>
          <w:rStyle w:val="FootnoteReference"/>
          <w:rFonts w:cs="Arial"/>
          <w:lang w:eastAsia="en-GB"/>
        </w:rPr>
        <w:footnoteReference w:id="113"/>
      </w:r>
    </w:p>
    <w:p w:rsidR="00913351" w:rsidRPr="006A6CE3" w:rsidRDefault="00913351" w:rsidP="0086258B">
      <w:pPr>
        <w:numPr>
          <w:ilvl w:val="0"/>
          <w:numId w:val="65"/>
        </w:numPr>
        <w:rPr>
          <w:rFonts w:cs="Arial"/>
          <w:color w:val="FFFFFF"/>
          <w:lang w:eastAsia="en-GB"/>
        </w:rPr>
      </w:pPr>
      <w:r w:rsidRPr="006A6CE3">
        <w:rPr>
          <w:rFonts w:cs="Arial"/>
          <w:b/>
        </w:rPr>
        <w:t xml:space="preserve">The Ceres Aqua Gauge </w:t>
      </w:r>
      <w:r w:rsidRPr="006A6CE3">
        <w:rPr>
          <w:rFonts w:cs="Arial"/>
        </w:rPr>
        <w:t>is an</w:t>
      </w:r>
      <w:r w:rsidRPr="006A6CE3">
        <w:rPr>
          <w:rFonts w:cs="Arial"/>
          <w:b/>
        </w:rPr>
        <w:t xml:space="preserve"> </w:t>
      </w:r>
      <w:r w:rsidRPr="006A6CE3">
        <w:rPr>
          <w:rFonts w:cs="Arial"/>
        </w:rPr>
        <w:t xml:space="preserve">excel-based tool for investors to assess a company’s water management activities.  Although aimed at investors, the tool may also be useful for companies to </w:t>
      </w:r>
      <w:r w:rsidRPr="006A6CE3">
        <w:rPr>
          <w:rFonts w:cs="Arial"/>
          <w:color w:val="272627"/>
          <w:lang w:eastAsia="en-GB"/>
        </w:rPr>
        <w:t xml:space="preserve">facilitate internal assessment and engage with suppliers – by setting out key questions to ask. Access to the tool is available on the  </w:t>
      </w:r>
      <w:hyperlink r:id="rId87" w:history="1">
        <w:r w:rsidRPr="006A6CE3">
          <w:rPr>
            <w:rStyle w:val="Hyperlink"/>
            <w:rFonts w:cs="Arial"/>
          </w:rPr>
          <w:t>CERES website</w:t>
        </w:r>
      </w:hyperlink>
      <w:r w:rsidRPr="006A6CE3">
        <w:rPr>
          <w:rStyle w:val="FootnoteReference"/>
          <w:rFonts w:cs="Arial"/>
          <w:b/>
        </w:rPr>
        <w:footnoteReference w:id="114"/>
      </w:r>
      <w:r w:rsidRPr="006A6CE3">
        <w:rPr>
          <w:rFonts w:cs="Arial"/>
          <w:color w:val="272627"/>
          <w:lang w:eastAsia="en-GB"/>
        </w:rPr>
        <w:t xml:space="preserve">* </w:t>
      </w:r>
    </w:p>
    <w:p w:rsidR="00913351" w:rsidRPr="006A6CE3" w:rsidRDefault="00913351" w:rsidP="0086258B">
      <w:pPr>
        <w:numPr>
          <w:ilvl w:val="0"/>
          <w:numId w:val="65"/>
        </w:numPr>
        <w:spacing w:before="120" w:after="240" w:line="240" w:lineRule="auto"/>
        <w:rPr>
          <w:rFonts w:cs="Arial"/>
        </w:rPr>
      </w:pPr>
      <w:r w:rsidRPr="006A6CE3">
        <w:rPr>
          <w:rFonts w:cs="Arial"/>
          <w:b/>
        </w:rPr>
        <w:t>Water stewardship initiatives</w:t>
      </w:r>
      <w:r w:rsidRPr="006A6CE3">
        <w:rPr>
          <w:rFonts w:cs="Arial"/>
        </w:rPr>
        <w:t xml:space="preserve"> encourage business to reduce their water use and engage with all water users at catchment level to agree how the resource should be sustainably managed.  The European Water Stewardship Partnership recently published a standard for pilot testing that sets out principles and criteria (covering water use, impact, and governance) a company must meet to be verified as meeting the standard.</w:t>
      </w:r>
      <w:r w:rsidRPr="006A6CE3">
        <w:rPr>
          <w:rStyle w:val="FootnoteReference"/>
          <w:rFonts w:cs="Arial"/>
        </w:rPr>
        <w:footnoteReference w:id="115"/>
      </w:r>
      <w:r w:rsidRPr="006A6CE3">
        <w:rPr>
          <w:rFonts w:cs="Arial"/>
        </w:rPr>
        <w:t xml:space="preserve">  The Alliance for Water Stewardship is also developing a global standard for water stewardship.</w:t>
      </w:r>
      <w:r w:rsidRPr="006A6CE3">
        <w:rPr>
          <w:rStyle w:val="FootnoteReference"/>
          <w:rFonts w:cs="Arial"/>
        </w:rPr>
        <w:footnoteReference w:id="116"/>
      </w:r>
      <w:r w:rsidRPr="006A6CE3">
        <w:rPr>
          <w:rFonts w:cs="Arial"/>
        </w:rPr>
        <w:t xml:space="preserve">  The CEO Water Mandate</w:t>
      </w:r>
      <w:r w:rsidRPr="006A6CE3">
        <w:rPr>
          <w:rStyle w:val="FootnoteReference"/>
          <w:rFonts w:cs="Arial"/>
        </w:rPr>
        <w:footnoteReference w:id="117"/>
      </w:r>
      <w:r w:rsidRPr="006A6CE3">
        <w:rPr>
          <w:rFonts w:cs="Arial"/>
        </w:rPr>
        <w:t xml:space="preserve"> also assists companies in the development, implementation and disclosure of water sustainability policies and practices through its Water Action Hub.</w:t>
      </w:r>
    </w:p>
    <w:p w:rsidR="00913351" w:rsidRPr="006A6CE3" w:rsidRDefault="00913351" w:rsidP="0086258B">
      <w:pPr>
        <w:numPr>
          <w:ilvl w:val="0"/>
          <w:numId w:val="65"/>
        </w:numPr>
        <w:spacing w:before="120" w:after="240" w:line="240" w:lineRule="auto"/>
        <w:rPr>
          <w:rFonts w:cs="Arial"/>
          <w:color w:val="FFFFFF"/>
          <w:lang w:eastAsia="en-GB"/>
        </w:rPr>
      </w:pPr>
      <w:r w:rsidRPr="006A6CE3">
        <w:rPr>
          <w:rFonts w:cs="Arial"/>
          <w:b/>
        </w:rPr>
        <w:t xml:space="preserve">Water </w:t>
      </w:r>
      <w:proofErr w:type="spellStart"/>
      <w:r w:rsidRPr="006A6CE3">
        <w:rPr>
          <w:rFonts w:cs="Arial"/>
          <w:b/>
        </w:rPr>
        <w:t>footprinting</w:t>
      </w:r>
      <w:proofErr w:type="spellEnd"/>
      <w:r w:rsidRPr="006A6CE3">
        <w:rPr>
          <w:rFonts w:cs="Arial"/>
          <w:b/>
        </w:rPr>
        <w:t xml:space="preserve"> </w:t>
      </w:r>
      <w:r w:rsidRPr="006A6CE3">
        <w:rPr>
          <w:rFonts w:cs="Arial"/>
        </w:rPr>
        <w:t>is a tool for measuring both the direct and indirect (e.g.</w:t>
      </w:r>
      <w:r w:rsidR="004D6509">
        <w:rPr>
          <w:rFonts w:cs="Arial"/>
        </w:rPr>
        <w:t xml:space="preserve"> </w:t>
      </w:r>
      <w:r w:rsidRPr="006A6CE3">
        <w:rPr>
          <w:rFonts w:cs="Arial"/>
        </w:rPr>
        <w:t xml:space="preserve">supply chain) water use of a product, business or community.  Water </w:t>
      </w:r>
      <w:proofErr w:type="spellStart"/>
      <w:r w:rsidRPr="006A6CE3">
        <w:rPr>
          <w:rFonts w:cs="Arial"/>
        </w:rPr>
        <w:t>footprinting</w:t>
      </w:r>
      <w:proofErr w:type="spellEnd"/>
      <w:r w:rsidRPr="006A6CE3">
        <w:rPr>
          <w:rFonts w:cs="Arial"/>
        </w:rPr>
        <w:t xml:space="preserve"> is very useful in developing a comprehensive measure of a product or business’ water use.  However, the methodology for water </w:t>
      </w:r>
      <w:proofErr w:type="spellStart"/>
      <w:r w:rsidRPr="006A6CE3">
        <w:rPr>
          <w:rFonts w:cs="Arial"/>
        </w:rPr>
        <w:t>footprinting</w:t>
      </w:r>
      <w:proofErr w:type="spellEnd"/>
      <w:r w:rsidRPr="006A6CE3">
        <w:rPr>
          <w:rFonts w:cs="Arial"/>
        </w:rPr>
        <w:t xml:space="preserve"> is insufficiently mature to support consistent assessments that account for both the “volume” of water consumed and it’s “impact” in the local environment.  The method can also be resource intensive to carry out and the level of accuracy can vary significantly depending on the season, location, data etc.   Key tools include:</w:t>
      </w:r>
    </w:p>
    <w:p w:rsidR="00913351" w:rsidRPr="006A6CE3" w:rsidRDefault="00913351" w:rsidP="0086258B">
      <w:pPr>
        <w:numPr>
          <w:ilvl w:val="0"/>
          <w:numId w:val="65"/>
        </w:numPr>
        <w:spacing w:before="0" w:after="200" w:line="240" w:lineRule="auto"/>
        <w:rPr>
          <w:rFonts w:cs="Arial"/>
        </w:rPr>
      </w:pPr>
      <w:r w:rsidRPr="006A6CE3">
        <w:rPr>
          <w:rFonts w:cs="Arial"/>
          <w:b/>
        </w:rPr>
        <w:t>The Water Footprint Network</w:t>
      </w:r>
      <w:r w:rsidRPr="006A6CE3">
        <w:rPr>
          <w:rFonts w:cs="Arial"/>
          <w:i/>
        </w:rPr>
        <w:t xml:space="preserve"> </w:t>
      </w:r>
      <w:r w:rsidRPr="006A6CE3">
        <w:rPr>
          <w:rFonts w:cs="Arial"/>
        </w:rPr>
        <w:t>method to measure the volumetric water footprint – quantifying water use by source and type of water.</w:t>
      </w:r>
      <w:r w:rsidRPr="006A6CE3">
        <w:rPr>
          <w:rStyle w:val="FootnoteReference"/>
          <w:rFonts w:cs="Arial"/>
        </w:rPr>
        <w:footnoteReference w:id="118"/>
      </w:r>
      <w:r w:rsidRPr="006A6CE3">
        <w:rPr>
          <w:rFonts w:cs="Arial"/>
        </w:rPr>
        <w:t xml:space="preserve">  </w:t>
      </w:r>
    </w:p>
    <w:p w:rsidR="00913351" w:rsidRPr="006A6CE3" w:rsidRDefault="00913351" w:rsidP="0086258B">
      <w:pPr>
        <w:numPr>
          <w:ilvl w:val="0"/>
          <w:numId w:val="65"/>
        </w:numPr>
        <w:spacing w:before="0" w:after="200" w:line="240" w:lineRule="auto"/>
        <w:rPr>
          <w:rFonts w:cs="Arial"/>
        </w:rPr>
      </w:pPr>
      <w:r w:rsidRPr="006A6CE3">
        <w:rPr>
          <w:rFonts w:cs="Arial"/>
          <w:b/>
        </w:rPr>
        <w:lastRenderedPageBreak/>
        <w:t>The International Standards Organisation</w:t>
      </w:r>
      <w:r w:rsidRPr="006A6CE3">
        <w:rPr>
          <w:rFonts w:cs="Arial"/>
        </w:rPr>
        <w:t xml:space="preserve"> is currently developing a water footprint standard that is aiming to represent both the volume and impact of water use in relation to local situations.  </w:t>
      </w:r>
    </w:p>
    <w:p w:rsidR="00913351" w:rsidRPr="006A6CE3" w:rsidRDefault="00913351" w:rsidP="007944B7">
      <w:pPr>
        <w:rPr>
          <w:rFonts w:cs="Arial"/>
        </w:rPr>
      </w:pPr>
      <w:r w:rsidRPr="006A6CE3">
        <w:rPr>
          <w:rFonts w:cs="Arial"/>
        </w:rPr>
        <w:t>If you are using any of these tools please detail this in your reporting.</w:t>
      </w:r>
    </w:p>
    <w:p w:rsidR="00913351" w:rsidRPr="006A6CE3" w:rsidRDefault="00913351" w:rsidP="0086258B">
      <w:pPr>
        <w:numPr>
          <w:ilvl w:val="0"/>
          <w:numId w:val="66"/>
        </w:numPr>
        <w:rPr>
          <w:rFonts w:cs="Arial"/>
        </w:rPr>
      </w:pPr>
      <w:bookmarkStart w:id="345" w:name="Indicators_supply_chain_risks"/>
      <w:r w:rsidRPr="006A6CE3">
        <w:rPr>
          <w:rFonts w:cs="Arial"/>
          <w:b/>
          <w:lang w:eastAsia="en-GB"/>
        </w:rPr>
        <w:t>Indicators for understanding supply chain risks</w:t>
      </w:r>
    </w:p>
    <w:bookmarkEnd w:id="345"/>
    <w:p w:rsidR="00913351" w:rsidRPr="006A6CE3" w:rsidRDefault="00913351" w:rsidP="007944B7">
      <w:pPr>
        <w:rPr>
          <w:rFonts w:cs="Arial"/>
          <w:lang w:eastAsia="en-GB"/>
        </w:rPr>
      </w:pPr>
      <w:r w:rsidRPr="006A6CE3">
        <w:rPr>
          <w:rFonts w:cs="Arial"/>
          <w:lang w:eastAsia="en-GB"/>
        </w:rPr>
        <w:t>The following is a short list of questions which you should consider against your business operations to help you identify any risks, understand issues or highlight opportunities that may occur along your supply chain or your business or product line, that could impact on the viability of your business.</w:t>
      </w:r>
    </w:p>
    <w:p w:rsidR="00913351" w:rsidRPr="006A6CE3" w:rsidRDefault="00913351" w:rsidP="0086258B">
      <w:pPr>
        <w:numPr>
          <w:ilvl w:val="0"/>
          <w:numId w:val="7"/>
        </w:numPr>
        <w:rPr>
          <w:rFonts w:cs="Arial"/>
          <w:lang w:eastAsia="en-GB"/>
        </w:rPr>
      </w:pPr>
      <w:r w:rsidRPr="006A6CE3">
        <w:rPr>
          <w:rFonts w:cs="Arial"/>
          <w:lang w:eastAsia="en-GB"/>
        </w:rPr>
        <w:t>Do you know whether your suppliers operate in areas vulnerable to drought or flooding?</w:t>
      </w:r>
    </w:p>
    <w:p w:rsidR="00913351" w:rsidRPr="006A6CE3" w:rsidRDefault="00913351" w:rsidP="0086258B">
      <w:pPr>
        <w:numPr>
          <w:ilvl w:val="0"/>
          <w:numId w:val="7"/>
        </w:numPr>
        <w:spacing w:before="120" w:after="240" w:line="240" w:lineRule="auto"/>
        <w:rPr>
          <w:rFonts w:cs="Arial"/>
          <w:lang w:eastAsia="en-GB"/>
        </w:rPr>
      </w:pPr>
      <w:r w:rsidRPr="006A6CE3">
        <w:rPr>
          <w:rFonts w:cs="Arial"/>
          <w:lang w:eastAsia="en-GB"/>
        </w:rPr>
        <w:t>How many of your suppliers are located in water stressed regions? (You may wish to gather data on water use and compliance from suppliers, particularly in vulnerable regions)</w:t>
      </w:r>
    </w:p>
    <w:p w:rsidR="00913351" w:rsidRPr="006A6CE3" w:rsidRDefault="00913351" w:rsidP="0086258B">
      <w:pPr>
        <w:numPr>
          <w:ilvl w:val="0"/>
          <w:numId w:val="7"/>
        </w:numPr>
        <w:spacing w:before="120" w:after="240" w:line="240" w:lineRule="auto"/>
        <w:rPr>
          <w:rFonts w:cs="Arial"/>
          <w:lang w:eastAsia="en-GB"/>
        </w:rPr>
      </w:pPr>
      <w:r w:rsidRPr="006A6CE3">
        <w:rPr>
          <w:rFonts w:cs="Arial"/>
          <w:lang w:eastAsia="en-GB"/>
        </w:rPr>
        <w:t xml:space="preserve">What is the source and reliance on water by your suppliers in sensitive areas?  </w:t>
      </w:r>
    </w:p>
    <w:p w:rsidR="00913351" w:rsidRPr="006A6CE3" w:rsidRDefault="00913351" w:rsidP="0086258B">
      <w:pPr>
        <w:numPr>
          <w:ilvl w:val="0"/>
          <w:numId w:val="7"/>
        </w:numPr>
        <w:spacing w:before="120" w:after="240" w:line="240" w:lineRule="auto"/>
        <w:rPr>
          <w:rFonts w:cs="Arial"/>
          <w:lang w:eastAsia="en-GB"/>
        </w:rPr>
      </w:pPr>
      <w:r w:rsidRPr="006A6CE3">
        <w:rPr>
          <w:rFonts w:cs="Arial"/>
          <w:lang w:eastAsia="en-GB"/>
        </w:rPr>
        <w:t>Is there any risk to degradation of water affecting your suppliers’ use of that water?</w:t>
      </w:r>
    </w:p>
    <w:p w:rsidR="00913351" w:rsidRPr="006A6CE3" w:rsidRDefault="00913351" w:rsidP="0086258B">
      <w:pPr>
        <w:numPr>
          <w:ilvl w:val="0"/>
          <w:numId w:val="7"/>
        </w:numPr>
        <w:spacing w:before="120" w:after="240" w:line="240" w:lineRule="auto"/>
        <w:rPr>
          <w:rFonts w:cs="Arial"/>
          <w:lang w:eastAsia="en-GB"/>
        </w:rPr>
      </w:pPr>
      <w:r w:rsidRPr="006A6CE3">
        <w:rPr>
          <w:rFonts w:cs="Arial"/>
          <w:lang w:eastAsia="en-GB"/>
        </w:rPr>
        <w:t>How is water managed in your supply chain?</w:t>
      </w:r>
    </w:p>
    <w:p w:rsidR="00913351" w:rsidRPr="006A6CE3" w:rsidRDefault="00913351" w:rsidP="0086258B">
      <w:pPr>
        <w:numPr>
          <w:ilvl w:val="0"/>
          <w:numId w:val="7"/>
        </w:numPr>
        <w:spacing w:before="120" w:after="240" w:line="240" w:lineRule="auto"/>
        <w:rPr>
          <w:rFonts w:cs="Arial"/>
          <w:lang w:eastAsia="en-GB"/>
        </w:rPr>
      </w:pPr>
      <w:r w:rsidRPr="006A6CE3">
        <w:rPr>
          <w:rFonts w:cs="Arial"/>
          <w:lang w:eastAsia="en-GB"/>
        </w:rPr>
        <w:t>Do your suppliers have management systems in place to mitigate any of the above risks and improve management in the catchment they operate?</w:t>
      </w:r>
    </w:p>
    <w:p w:rsidR="00913351" w:rsidRPr="006A6CE3" w:rsidRDefault="00913351" w:rsidP="0086258B">
      <w:pPr>
        <w:numPr>
          <w:ilvl w:val="0"/>
          <w:numId w:val="7"/>
        </w:numPr>
        <w:spacing w:before="120" w:after="240" w:line="240" w:lineRule="auto"/>
        <w:rPr>
          <w:rFonts w:cs="Arial"/>
          <w:lang w:eastAsia="en-GB"/>
        </w:rPr>
      </w:pPr>
      <w:r w:rsidRPr="006A6CE3">
        <w:rPr>
          <w:rFonts w:cs="Arial"/>
          <w:lang w:eastAsia="en-GB"/>
        </w:rPr>
        <w:t xml:space="preserve">Are they aware of the other users of water in their catchment?  Is there competition for a limited resource?   </w:t>
      </w:r>
    </w:p>
    <w:p w:rsidR="00913351" w:rsidRPr="006A6CE3" w:rsidRDefault="00913351" w:rsidP="0086258B">
      <w:pPr>
        <w:numPr>
          <w:ilvl w:val="0"/>
          <w:numId w:val="7"/>
        </w:numPr>
        <w:spacing w:before="120" w:after="240" w:line="240" w:lineRule="auto"/>
        <w:rPr>
          <w:rFonts w:cs="Arial"/>
          <w:lang w:eastAsia="en-GB"/>
        </w:rPr>
      </w:pPr>
      <w:r w:rsidRPr="006A6CE3">
        <w:rPr>
          <w:rFonts w:cs="Arial"/>
          <w:lang w:eastAsia="en-GB"/>
        </w:rPr>
        <w:t xml:space="preserve">Estimate the severity and timeframe whereby you may be exposed to the above risks  </w:t>
      </w:r>
    </w:p>
    <w:p w:rsidR="00913351" w:rsidRPr="006A6CE3" w:rsidRDefault="00913351" w:rsidP="0086258B">
      <w:pPr>
        <w:numPr>
          <w:ilvl w:val="0"/>
          <w:numId w:val="7"/>
        </w:numPr>
        <w:spacing w:before="120" w:after="240" w:line="240" w:lineRule="auto"/>
        <w:rPr>
          <w:rFonts w:cs="Arial"/>
          <w:lang w:eastAsia="en-GB"/>
        </w:rPr>
      </w:pPr>
      <w:r w:rsidRPr="006A6CE3">
        <w:rPr>
          <w:rFonts w:cs="Arial"/>
          <w:lang w:eastAsia="en-GB"/>
        </w:rPr>
        <w:t xml:space="preserve">Are these short term (i.e. within the next 5 years) or long term risks? </w:t>
      </w:r>
    </w:p>
    <w:p w:rsidR="00913351" w:rsidRPr="006A6CE3" w:rsidRDefault="00913351" w:rsidP="0086258B">
      <w:pPr>
        <w:numPr>
          <w:ilvl w:val="0"/>
          <w:numId w:val="7"/>
        </w:numPr>
        <w:spacing w:before="120" w:after="240" w:line="240" w:lineRule="auto"/>
        <w:rPr>
          <w:rFonts w:cs="Arial"/>
          <w:lang w:eastAsia="en-GB"/>
        </w:rPr>
      </w:pPr>
      <w:r w:rsidRPr="006A6CE3">
        <w:rPr>
          <w:rFonts w:cs="Arial"/>
          <w:lang w:eastAsia="en-GB"/>
        </w:rPr>
        <w:t>Is it a seasonal risk?</w:t>
      </w:r>
    </w:p>
    <w:p w:rsidR="00913351" w:rsidRPr="006A6CE3" w:rsidRDefault="00913351" w:rsidP="0086258B">
      <w:pPr>
        <w:numPr>
          <w:ilvl w:val="0"/>
          <w:numId w:val="7"/>
        </w:numPr>
        <w:spacing w:before="120" w:after="240" w:line="240" w:lineRule="auto"/>
        <w:rPr>
          <w:rFonts w:cs="Arial"/>
          <w:lang w:eastAsia="en-GB"/>
        </w:rPr>
      </w:pPr>
      <w:r w:rsidRPr="006A6CE3">
        <w:rPr>
          <w:rFonts w:cs="Arial"/>
          <w:lang w:eastAsia="en-GB"/>
        </w:rPr>
        <w:t xml:space="preserve">How might this affect your operations?  </w:t>
      </w:r>
    </w:p>
    <w:p w:rsidR="00913351" w:rsidRPr="006A6CE3" w:rsidRDefault="00913351" w:rsidP="00EA5B43">
      <w:pPr>
        <w:pStyle w:val="Heading2"/>
      </w:pPr>
      <w:bookmarkStart w:id="346" w:name="_Annex_J:_Waste"/>
      <w:bookmarkEnd w:id="346"/>
      <w:r w:rsidRPr="006A6CE3">
        <w:br w:type="page"/>
      </w:r>
      <w:bookmarkStart w:id="347" w:name="_Toc358054602"/>
      <w:bookmarkStart w:id="348" w:name="_Toc358060242"/>
      <w:bookmarkStart w:id="349" w:name="_Toc358302315"/>
      <w:bookmarkStart w:id="350" w:name="_Toc380763595"/>
      <w:r w:rsidRPr="006A6CE3">
        <w:lastRenderedPageBreak/>
        <w:t>Annex J: Waste</w:t>
      </w:r>
      <w:bookmarkEnd w:id="347"/>
      <w:bookmarkEnd w:id="348"/>
      <w:bookmarkEnd w:id="349"/>
      <w:bookmarkEnd w:id="350"/>
    </w:p>
    <w:p w:rsidR="00913351" w:rsidRPr="006A6CE3" w:rsidRDefault="00913351" w:rsidP="00E204D9">
      <w:pPr>
        <w:autoSpaceDE w:val="0"/>
        <w:autoSpaceDN w:val="0"/>
        <w:adjustRightInd w:val="0"/>
        <w:spacing w:before="0" w:after="0" w:line="240" w:lineRule="auto"/>
        <w:rPr>
          <w:rFonts w:cs="Arial"/>
          <w:szCs w:val="24"/>
        </w:rPr>
      </w:pPr>
    </w:p>
    <w:p w:rsidR="00913351" w:rsidRPr="006A6CE3" w:rsidRDefault="00913351" w:rsidP="00E204D9">
      <w:pPr>
        <w:pStyle w:val="Heading4"/>
        <w:rPr>
          <w:rFonts w:cs="Arial"/>
          <w:i w:val="0"/>
          <w:color w:val="76923C"/>
          <w:sz w:val="28"/>
          <w:szCs w:val="28"/>
        </w:rPr>
      </w:pPr>
      <w:r w:rsidRPr="006A6CE3">
        <w:rPr>
          <w:rFonts w:cs="Arial"/>
          <w:i w:val="0"/>
          <w:color w:val="76923C"/>
          <w:sz w:val="28"/>
          <w:szCs w:val="28"/>
        </w:rPr>
        <w:t>Waste Hierarchy</w:t>
      </w:r>
    </w:p>
    <w:p w:rsidR="00913351" w:rsidRPr="006A6CE3" w:rsidRDefault="00913351" w:rsidP="00873F77">
      <w:pPr>
        <w:rPr>
          <w:rFonts w:cs="Arial"/>
          <w:lang w:eastAsia="en-GB"/>
        </w:rPr>
      </w:pPr>
      <w:r w:rsidRPr="006A6CE3">
        <w:rPr>
          <w:rFonts w:cs="Arial"/>
          <w:lang w:eastAsia="en-GB"/>
        </w:rPr>
        <w:t>Defra published comprehensive guidance for business on the definition of waste which can be found at the link below:</w:t>
      </w:r>
    </w:p>
    <w:p w:rsidR="00913351" w:rsidRPr="006A6CE3" w:rsidRDefault="00C93591" w:rsidP="00873F77">
      <w:pPr>
        <w:rPr>
          <w:rFonts w:cs="Arial"/>
          <w:lang w:eastAsia="en-GB"/>
        </w:rPr>
      </w:pPr>
      <w:hyperlink r:id="rId88" w:history="1">
        <w:r w:rsidR="00A81560" w:rsidRPr="002D679C">
          <w:rPr>
            <w:rStyle w:val="Hyperlink"/>
            <w:rFonts w:cs="Arial"/>
            <w:lang w:eastAsia="en-GB"/>
          </w:rPr>
          <w:t>https://www.gov.uk/government/uploads/system/uploads/attachment_data/file/69590/pb13813-waste-legal-def-guide.pdf</w:t>
        </w:r>
      </w:hyperlink>
      <w:r w:rsidR="00A81560">
        <w:rPr>
          <w:rFonts w:cs="Arial"/>
          <w:lang w:eastAsia="en-GB"/>
        </w:rPr>
        <w:t xml:space="preserve"> </w:t>
      </w:r>
    </w:p>
    <w:p w:rsidR="00913351" w:rsidRPr="006A6CE3" w:rsidRDefault="00913351" w:rsidP="00873F77">
      <w:pPr>
        <w:rPr>
          <w:rFonts w:cs="Arial"/>
        </w:rPr>
      </w:pPr>
      <w:r w:rsidRPr="006A6CE3">
        <w:rPr>
          <w:rFonts w:cs="Arial"/>
        </w:rPr>
        <w:t>Waste is regulated in the UK and the laws that are in place regarding waste are designed to prevent the environment from being damaged and to encourage resource efficiency through the prevention and sustainable management of waste. These are based primarily around the EU Waste Framework Directive (2008/98/EC). Some of the legislation applies to all business waste, whilst some deals with particular types or sectors. If in doubt contact you can contact WRAP, the Environment Agency, or your local authority waste service for advice.</w:t>
      </w:r>
    </w:p>
    <w:p w:rsidR="00913351" w:rsidRPr="006A6CE3" w:rsidRDefault="00913351" w:rsidP="00873F77">
      <w:pPr>
        <w:rPr>
          <w:rFonts w:cs="Arial"/>
        </w:rPr>
      </w:pPr>
      <w:r w:rsidRPr="006A6CE3">
        <w:rPr>
          <w:rFonts w:cs="Arial"/>
        </w:rPr>
        <w:t xml:space="preserve">There is a hierarchy of how to deal with your waste which has legal standing.  You will need to tick a box in your Waste Transfer Note when you hand over your waste saying that you are applying the Waste Hierarchy. That means that you are ensuring that your waste will be treated with the best waste management available for that specific waste (See the section on “Duty of Care”).  You must give priority to waste prevention, followed by activities that prepare waste for re-use (e.g. cleaning, checking, </w:t>
      </w:r>
      <w:proofErr w:type="gramStart"/>
      <w:r w:rsidRPr="006A6CE3">
        <w:rPr>
          <w:rFonts w:cs="Arial"/>
        </w:rPr>
        <w:t>repairing</w:t>
      </w:r>
      <w:proofErr w:type="gramEnd"/>
      <w:r w:rsidRPr="006A6CE3">
        <w:rPr>
          <w:rFonts w:cs="Arial"/>
        </w:rPr>
        <w:t xml:space="preserve">), followed by recycling, then other forms of recovery (including energy from waste). Disposal (e.g. landfill) is regarded as the last resort. Defra has issued guidance on the application of the Waste Hierarchy: </w:t>
      </w:r>
      <w:hyperlink r:id="rId89" w:history="1">
        <w:r w:rsidR="00A81560" w:rsidRPr="002D679C">
          <w:rPr>
            <w:rStyle w:val="Hyperlink"/>
            <w:rFonts w:cs="Arial"/>
          </w:rPr>
          <w:t>https://www.gov.uk/government/uploads/system/uploads/attachment_data/file/69403/pb13530-waste-hierarchy-guidance.pdf</w:t>
        </w:r>
      </w:hyperlink>
      <w:r w:rsidR="00A81560">
        <w:rPr>
          <w:rFonts w:cs="Arial"/>
        </w:rPr>
        <w:t xml:space="preserve"> </w:t>
      </w:r>
    </w:p>
    <w:p w:rsidR="00913351" w:rsidRPr="006A6CE3" w:rsidRDefault="00913351" w:rsidP="00E204D9">
      <w:pPr>
        <w:spacing w:line="240" w:lineRule="auto"/>
        <w:rPr>
          <w:rFonts w:cs="Arial"/>
          <w:szCs w:val="24"/>
        </w:rPr>
      </w:pPr>
    </w:p>
    <w:p w:rsidR="00913351" w:rsidRPr="006A6CE3" w:rsidRDefault="00151A25" w:rsidP="00E204D9">
      <w:pPr>
        <w:spacing w:line="240" w:lineRule="auto"/>
        <w:rPr>
          <w:rFonts w:cs="Arial"/>
          <w:noProof/>
          <w:szCs w:val="24"/>
          <w:lang w:eastAsia="en-GB"/>
        </w:rPr>
      </w:pPr>
      <w:r>
        <w:rPr>
          <w:rFonts w:cs="Arial"/>
          <w:noProof/>
          <w:szCs w:val="24"/>
          <w:lang w:eastAsia="en-GB"/>
        </w:rPr>
        <w:lastRenderedPageBreak/>
        <w:drawing>
          <wp:inline distT="0" distB="0" distL="0" distR="0" wp14:anchorId="0CF4C3B7" wp14:editId="2504F157">
            <wp:extent cx="4654550" cy="3053080"/>
            <wp:effectExtent l="0" t="0" r="12700" b="13970"/>
            <wp:docPr id="9"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p>
    <w:p w:rsidR="00913351" w:rsidRPr="006A6CE3" w:rsidRDefault="00913351" w:rsidP="00E204D9">
      <w:pPr>
        <w:pStyle w:val="Heading4"/>
        <w:rPr>
          <w:rFonts w:cs="Arial"/>
          <w:i w:val="0"/>
          <w:color w:val="76923C"/>
          <w:sz w:val="28"/>
          <w:szCs w:val="28"/>
        </w:rPr>
      </w:pPr>
      <w:r w:rsidRPr="006A6CE3">
        <w:rPr>
          <w:rFonts w:cs="Arial"/>
          <w:noProof/>
          <w:lang w:eastAsia="en-GB"/>
        </w:rPr>
        <w:br w:type="page"/>
      </w:r>
      <w:r w:rsidRPr="006A6CE3">
        <w:rPr>
          <w:rFonts w:cs="Arial"/>
          <w:i w:val="0"/>
          <w:color w:val="76923C"/>
          <w:sz w:val="28"/>
          <w:szCs w:val="28"/>
        </w:rPr>
        <w:lastRenderedPageBreak/>
        <w:t>Duty of Care</w:t>
      </w:r>
    </w:p>
    <w:p w:rsidR="00913351" w:rsidRPr="006A6CE3" w:rsidRDefault="00913351" w:rsidP="00873F77">
      <w:pPr>
        <w:rPr>
          <w:rFonts w:cs="Arial"/>
          <w:b/>
        </w:rPr>
      </w:pPr>
      <w:r w:rsidRPr="006A6CE3">
        <w:rPr>
          <w:rFonts w:cs="Arial"/>
          <w:lang w:eastAsia="en-GB"/>
        </w:rPr>
        <w:t xml:space="preserve">You have a legal responsibility as an organisation to ensure that you produce, store, transport and dispose of your waste without harming the environment: this is called your </w:t>
      </w:r>
      <w:r w:rsidRPr="006A6CE3">
        <w:rPr>
          <w:rFonts w:cs="Arial"/>
          <w:i/>
          <w:lang w:eastAsia="en-GB"/>
        </w:rPr>
        <w:t xml:space="preserve">duty of care.   </w:t>
      </w:r>
      <w:r w:rsidRPr="006A6CE3">
        <w:rPr>
          <w:rFonts w:cs="Arial"/>
          <w:lang w:eastAsia="en-GB"/>
        </w:rPr>
        <w:t>This should help you</w:t>
      </w:r>
      <w:r w:rsidRPr="006A6CE3">
        <w:rPr>
          <w:rFonts w:cs="Arial"/>
          <w:i/>
          <w:lang w:eastAsia="en-GB"/>
        </w:rPr>
        <w:t xml:space="preserve"> </w:t>
      </w:r>
      <w:r w:rsidRPr="006A6CE3">
        <w:rPr>
          <w:rFonts w:cs="Arial"/>
          <w:lang w:eastAsia="en-GB"/>
        </w:rPr>
        <w:t>understand the implications of your organisation’s waste activities and detail of what to measure and report under for each.</w:t>
      </w:r>
    </w:p>
    <w:p w:rsidR="00913351" w:rsidRPr="006A6CE3" w:rsidRDefault="00913351" w:rsidP="00873F77">
      <w:pPr>
        <w:rPr>
          <w:rFonts w:cs="Arial"/>
          <w:lang w:eastAsia="en-GB"/>
        </w:rPr>
      </w:pPr>
      <w:r w:rsidRPr="006A6CE3">
        <w:rPr>
          <w:rFonts w:cs="Arial"/>
          <w:lang w:eastAsia="en-GB"/>
        </w:rPr>
        <w:t xml:space="preserve">You must ensure that you: </w:t>
      </w:r>
    </w:p>
    <w:p w:rsidR="00913351" w:rsidRPr="006A6CE3" w:rsidRDefault="00913351" w:rsidP="0086258B">
      <w:pPr>
        <w:numPr>
          <w:ilvl w:val="0"/>
          <w:numId w:val="67"/>
        </w:numPr>
        <w:rPr>
          <w:rFonts w:cs="Arial"/>
          <w:lang w:eastAsia="en-GB"/>
        </w:rPr>
      </w:pPr>
      <w:r w:rsidRPr="006A6CE3">
        <w:rPr>
          <w:rFonts w:cs="Arial"/>
          <w:bCs/>
          <w:lang w:eastAsia="en-GB"/>
        </w:rPr>
        <w:t>Store</w:t>
      </w:r>
      <w:r w:rsidRPr="006A6CE3">
        <w:rPr>
          <w:rFonts w:cs="Arial"/>
          <w:lang w:eastAsia="en-GB"/>
        </w:rPr>
        <w:t xml:space="preserve"> and </w:t>
      </w:r>
      <w:r w:rsidRPr="006A6CE3">
        <w:rPr>
          <w:rFonts w:cs="Arial"/>
          <w:bCs/>
          <w:lang w:eastAsia="en-GB"/>
        </w:rPr>
        <w:t xml:space="preserve">transport </w:t>
      </w:r>
      <w:r w:rsidRPr="006A6CE3">
        <w:rPr>
          <w:rFonts w:cs="Arial"/>
          <w:lang w:eastAsia="en-GB"/>
        </w:rPr>
        <w:t xml:space="preserve">your waste </w:t>
      </w:r>
      <w:r w:rsidRPr="006A6CE3">
        <w:rPr>
          <w:rFonts w:cs="Arial"/>
          <w:bCs/>
          <w:lang w:eastAsia="en-GB"/>
        </w:rPr>
        <w:t xml:space="preserve">appropriately </w:t>
      </w:r>
      <w:r w:rsidRPr="006A6CE3">
        <w:rPr>
          <w:rFonts w:cs="Arial"/>
          <w:lang w:eastAsia="en-GB"/>
        </w:rPr>
        <w:t xml:space="preserve">and </w:t>
      </w:r>
      <w:r w:rsidRPr="006A6CE3">
        <w:rPr>
          <w:rFonts w:cs="Arial"/>
          <w:bCs/>
          <w:lang w:eastAsia="en-GB"/>
        </w:rPr>
        <w:t>securely</w:t>
      </w:r>
      <w:r w:rsidRPr="006A6CE3">
        <w:rPr>
          <w:rFonts w:cs="Arial"/>
          <w:lang w:eastAsia="en-GB"/>
        </w:rPr>
        <w:t xml:space="preserve"> so it does not escape and </w:t>
      </w:r>
      <w:r w:rsidRPr="006A6CE3">
        <w:rPr>
          <w:rFonts w:cs="Arial"/>
          <w:bCs/>
          <w:lang w:eastAsia="en-GB"/>
        </w:rPr>
        <w:t>any h</w:t>
      </w:r>
      <w:r w:rsidRPr="006A6CE3">
        <w:rPr>
          <w:rFonts w:cs="Arial"/>
          <w:lang w:eastAsia="en-GB"/>
        </w:rPr>
        <w:t>azard</w:t>
      </w:r>
      <w:r w:rsidRPr="006A6CE3">
        <w:rPr>
          <w:rFonts w:cs="Arial"/>
          <w:bCs/>
          <w:lang w:eastAsia="en-GB"/>
        </w:rPr>
        <w:t xml:space="preserve">ous waste </w:t>
      </w:r>
      <w:r w:rsidRPr="006A6CE3">
        <w:rPr>
          <w:rFonts w:cs="Arial"/>
          <w:lang w:eastAsia="en-GB"/>
        </w:rPr>
        <w:t>is kept sep</w:t>
      </w:r>
      <w:r w:rsidRPr="006A6CE3">
        <w:rPr>
          <w:rFonts w:cs="Arial"/>
          <w:bCs/>
          <w:lang w:eastAsia="en-GB"/>
        </w:rPr>
        <w:t>arately from o</w:t>
      </w:r>
      <w:r w:rsidRPr="006A6CE3">
        <w:rPr>
          <w:rFonts w:cs="Arial"/>
          <w:lang w:eastAsia="en-GB"/>
        </w:rPr>
        <w:t>ther</w:t>
      </w:r>
      <w:r w:rsidRPr="006A6CE3">
        <w:rPr>
          <w:rFonts w:cs="Arial"/>
          <w:bCs/>
          <w:lang w:eastAsia="en-GB"/>
        </w:rPr>
        <w:t xml:space="preserve"> waste s</w:t>
      </w:r>
      <w:r w:rsidRPr="006A6CE3">
        <w:rPr>
          <w:rFonts w:cs="Arial"/>
          <w:lang w:eastAsia="en-GB"/>
        </w:rPr>
        <w:t xml:space="preserve">treams. </w:t>
      </w:r>
    </w:p>
    <w:p w:rsidR="00913351" w:rsidRPr="006A6CE3" w:rsidRDefault="00913351" w:rsidP="0086258B">
      <w:pPr>
        <w:numPr>
          <w:ilvl w:val="0"/>
          <w:numId w:val="67"/>
        </w:numPr>
        <w:rPr>
          <w:rFonts w:cs="Arial"/>
        </w:rPr>
      </w:pPr>
      <w:r w:rsidRPr="006A6CE3">
        <w:rPr>
          <w:rFonts w:cs="Arial"/>
          <w:bCs/>
          <w:lang w:eastAsia="en-GB"/>
        </w:rPr>
        <w:t xml:space="preserve">Check </w:t>
      </w:r>
      <w:r w:rsidRPr="006A6CE3">
        <w:rPr>
          <w:rFonts w:cs="Arial"/>
          <w:lang w:eastAsia="en-GB"/>
        </w:rPr>
        <w:t xml:space="preserve">that your waste is transported and handled by organisations that are </w:t>
      </w:r>
      <w:r w:rsidRPr="006A6CE3">
        <w:rPr>
          <w:rFonts w:cs="Arial"/>
          <w:bCs/>
          <w:noProof/>
          <w:lang w:eastAsia="en-GB"/>
        </w:rPr>
        <w:t>authorised</w:t>
      </w:r>
      <w:r w:rsidRPr="006A6CE3">
        <w:rPr>
          <w:rFonts w:cs="Arial"/>
          <w:bCs/>
          <w:lang w:eastAsia="en-GB"/>
        </w:rPr>
        <w:t xml:space="preserve"> </w:t>
      </w:r>
      <w:r w:rsidRPr="006A6CE3">
        <w:rPr>
          <w:rFonts w:cs="Arial"/>
          <w:lang w:eastAsia="en-GB"/>
        </w:rPr>
        <w:t xml:space="preserve">to do so. If a waste carrier takes your waste away, you may also need to check that the site it is taken to is authorised to accept it. </w:t>
      </w:r>
    </w:p>
    <w:p w:rsidR="00913351" w:rsidRPr="006A6CE3" w:rsidRDefault="00913351" w:rsidP="0086258B">
      <w:pPr>
        <w:numPr>
          <w:ilvl w:val="0"/>
          <w:numId w:val="67"/>
        </w:numPr>
        <w:rPr>
          <w:rFonts w:cs="Arial"/>
          <w:lang w:eastAsia="en-GB"/>
        </w:rPr>
      </w:pPr>
      <w:r w:rsidRPr="006A6CE3">
        <w:rPr>
          <w:rFonts w:cs="Arial"/>
          <w:lang w:eastAsia="en-GB"/>
        </w:rPr>
        <w:t xml:space="preserve">Complete </w:t>
      </w:r>
      <w:r w:rsidRPr="006A6CE3">
        <w:rPr>
          <w:rFonts w:cs="Arial"/>
          <w:bCs/>
          <w:lang w:eastAsia="en-GB"/>
        </w:rPr>
        <w:t xml:space="preserve">waste transfer notes </w:t>
      </w:r>
      <w:r w:rsidRPr="006A6CE3">
        <w:rPr>
          <w:rFonts w:cs="Arial"/>
          <w:lang w:eastAsia="en-GB"/>
        </w:rPr>
        <w:t xml:space="preserve">(WTNs) to document all waste you transfer and keep them as a </w:t>
      </w:r>
      <w:r w:rsidRPr="006A6CE3">
        <w:rPr>
          <w:rFonts w:cs="Arial"/>
          <w:bCs/>
          <w:lang w:eastAsia="en-GB"/>
        </w:rPr>
        <w:t>record</w:t>
      </w:r>
      <w:r w:rsidRPr="006A6CE3">
        <w:rPr>
          <w:rFonts w:cs="Arial"/>
          <w:lang w:eastAsia="en-GB"/>
        </w:rPr>
        <w:t xml:space="preserve"> for at least </w:t>
      </w:r>
      <w:r w:rsidRPr="006A6CE3">
        <w:rPr>
          <w:rFonts w:cs="Arial"/>
          <w:bCs/>
          <w:lang w:eastAsia="en-GB"/>
        </w:rPr>
        <w:t>two years</w:t>
      </w:r>
      <w:r w:rsidRPr="006A6CE3">
        <w:rPr>
          <w:rFonts w:cs="Arial"/>
          <w:lang w:eastAsia="en-GB"/>
        </w:rPr>
        <w:t>. In the case of hazardous waste you will need to use consignment notes and keep them for 3 years. The WTN will provide the evidence trail to ensure that you have correctly applied the Waste Hierarchy to the type of wast</w:t>
      </w:r>
      <w:r w:rsidR="00873F77" w:rsidRPr="006A6CE3">
        <w:rPr>
          <w:rFonts w:cs="Arial"/>
          <w:lang w:eastAsia="en-GB"/>
        </w:rPr>
        <w:t>e</w:t>
      </w:r>
      <w:r w:rsidRPr="006A6CE3">
        <w:rPr>
          <w:rFonts w:cs="Arial"/>
          <w:lang w:eastAsia="en-GB"/>
        </w:rPr>
        <w:t xml:space="preserve"> you consigned.</w:t>
      </w:r>
    </w:p>
    <w:p w:rsidR="00913351" w:rsidRPr="006A6CE3" w:rsidRDefault="00913351" w:rsidP="00873F77">
      <w:pPr>
        <w:rPr>
          <w:rFonts w:cs="Arial"/>
        </w:rPr>
      </w:pPr>
      <w:r w:rsidRPr="006A6CE3">
        <w:rPr>
          <w:rFonts w:cs="Arial"/>
        </w:rPr>
        <w:t xml:space="preserve">The duty of care principle also applies to the trade and export of waste.  If you sell or trade in waste you have a responsibility to know where any traded waste ends its journey, even if you sell to an intermediary or broker for onward sale. </w:t>
      </w:r>
    </w:p>
    <w:p w:rsidR="00873F77" w:rsidRPr="006A6CE3" w:rsidRDefault="00913351" w:rsidP="00873F77">
      <w:pPr>
        <w:rPr>
          <w:rFonts w:cs="Arial"/>
        </w:rPr>
      </w:pPr>
      <w:r w:rsidRPr="006A6CE3">
        <w:rPr>
          <w:rFonts w:cs="Arial"/>
        </w:rPr>
        <w:t>There are also statutory Producer Responsibility Schemes on packaging, batteries, end-of-life vehicles and waste electronic and electrical equipment. Producer Responsibility laws require businesses to reuse, recover and recycle waste which comes from products they produce. You can find more information on all of these (including what your organisation may have to do to comply at</w:t>
      </w:r>
      <w:r w:rsidR="00873F77" w:rsidRPr="006A6CE3">
        <w:rPr>
          <w:rFonts w:cs="Arial"/>
        </w:rPr>
        <w:t>:</w:t>
      </w:r>
    </w:p>
    <w:p w:rsidR="00913351" w:rsidRPr="006A6CE3" w:rsidRDefault="00913351" w:rsidP="00873F77">
      <w:pPr>
        <w:rPr>
          <w:rFonts w:cs="Arial"/>
        </w:rPr>
      </w:pPr>
      <w:r w:rsidRPr="006A6CE3">
        <w:rPr>
          <w:rFonts w:cs="Arial"/>
        </w:rPr>
        <w:t xml:space="preserve"> </w:t>
      </w:r>
      <w:hyperlink r:id="rId95" w:history="1">
        <w:r w:rsidR="00873F77" w:rsidRPr="006A6CE3">
          <w:rPr>
            <w:rStyle w:val="Hyperlink"/>
            <w:rFonts w:cs="Arial"/>
          </w:rPr>
          <w:t>http://www.environment-agency.gov.uk/business/topics/waste/32206.aspx</w:t>
        </w:r>
      </w:hyperlink>
      <w:r w:rsidR="00873F77" w:rsidRPr="006A6CE3">
        <w:rPr>
          <w:rFonts w:cs="Arial"/>
          <w:color w:val="17365D"/>
        </w:rPr>
        <w:t xml:space="preserve"> </w:t>
      </w:r>
    </w:p>
    <w:p w:rsidR="00913351" w:rsidRPr="006A6CE3" w:rsidRDefault="00913351" w:rsidP="00E204D9">
      <w:pPr>
        <w:pStyle w:val="Heading4"/>
        <w:rPr>
          <w:rFonts w:cs="Arial"/>
          <w:i w:val="0"/>
          <w:color w:val="76923C"/>
          <w:sz w:val="28"/>
          <w:szCs w:val="28"/>
        </w:rPr>
      </w:pPr>
      <w:r w:rsidRPr="006A6CE3">
        <w:rPr>
          <w:rFonts w:cs="Arial"/>
          <w:i w:val="0"/>
          <w:color w:val="76923C"/>
          <w:sz w:val="28"/>
          <w:szCs w:val="28"/>
        </w:rPr>
        <w:t xml:space="preserve">Hazardous Waste </w:t>
      </w:r>
    </w:p>
    <w:p w:rsidR="00913351" w:rsidRPr="006A6CE3" w:rsidRDefault="00913351" w:rsidP="00873F77">
      <w:pPr>
        <w:rPr>
          <w:rFonts w:cs="Arial"/>
        </w:rPr>
      </w:pPr>
      <w:r w:rsidRPr="006A6CE3">
        <w:rPr>
          <w:rFonts w:cs="Arial"/>
        </w:rPr>
        <w:t xml:space="preserve">Hazardous waste also follows these general principles of a duty of care and the waste hierarchy.  </w:t>
      </w:r>
      <w:r w:rsidRPr="006A6CE3">
        <w:rPr>
          <w:rFonts w:cs="Arial"/>
          <w:vanish/>
        </w:rPr>
        <w:t xml:space="preserve">Hazardous waste </w:t>
      </w:r>
      <w:r w:rsidRPr="006A6CE3">
        <w:rPr>
          <w:rFonts w:cs="Arial"/>
        </w:rPr>
        <w:t>should always be kept separate from the general waste stream and from other types of hazardous waste. There are specific requirements for those who produce, handle, transport, store and manage hazardous waste.</w:t>
      </w:r>
    </w:p>
    <w:p w:rsidR="00913351" w:rsidRPr="006A6CE3" w:rsidRDefault="00C93591" w:rsidP="00E204D9">
      <w:pPr>
        <w:spacing w:line="240" w:lineRule="auto"/>
        <w:rPr>
          <w:rFonts w:cs="Arial"/>
          <w:color w:val="1116F7"/>
          <w:szCs w:val="24"/>
        </w:rPr>
      </w:pPr>
      <w:hyperlink r:id="rId96" w:history="1">
        <w:r w:rsidR="00913351" w:rsidRPr="006A6CE3">
          <w:rPr>
            <w:rStyle w:val="Hyperlink"/>
            <w:rFonts w:cs="Arial"/>
            <w:color w:val="1116F7"/>
            <w:szCs w:val="24"/>
          </w:rPr>
          <w:t>http://www.environment-agency.gov.uk/business/topics/waste/32180.aspx</w:t>
        </w:r>
      </w:hyperlink>
    </w:p>
    <w:p w:rsidR="00913351" w:rsidRPr="006A6CE3" w:rsidRDefault="00913351" w:rsidP="00E204D9">
      <w:pPr>
        <w:spacing w:line="240" w:lineRule="auto"/>
        <w:rPr>
          <w:rFonts w:cs="Arial"/>
          <w:color w:val="1116F7"/>
          <w:szCs w:val="24"/>
        </w:rPr>
      </w:pPr>
    </w:p>
    <w:p w:rsidR="00913351" w:rsidRPr="006A6CE3" w:rsidRDefault="00913351" w:rsidP="00E204D9">
      <w:pPr>
        <w:spacing w:line="240" w:lineRule="auto"/>
        <w:rPr>
          <w:rFonts w:cs="Arial"/>
          <w:color w:val="1116F7"/>
          <w:szCs w:val="24"/>
        </w:rPr>
      </w:pPr>
    </w:p>
    <w:p w:rsidR="00913351" w:rsidRPr="006A6CE3" w:rsidRDefault="00913351" w:rsidP="00E204D9">
      <w:pPr>
        <w:pStyle w:val="Heading4"/>
        <w:rPr>
          <w:rFonts w:cs="Arial"/>
          <w:i w:val="0"/>
          <w:color w:val="76923C"/>
          <w:sz w:val="28"/>
          <w:szCs w:val="28"/>
        </w:rPr>
      </w:pPr>
      <w:r w:rsidRPr="006A6CE3">
        <w:rPr>
          <w:rFonts w:cs="Arial"/>
          <w:i w:val="0"/>
          <w:color w:val="76923C"/>
          <w:sz w:val="28"/>
          <w:szCs w:val="28"/>
        </w:rPr>
        <w:t xml:space="preserve">Radioactive Waste </w:t>
      </w:r>
    </w:p>
    <w:p w:rsidR="00913351" w:rsidRPr="006A6CE3" w:rsidRDefault="00913351" w:rsidP="00873F77">
      <w:pPr>
        <w:rPr>
          <w:rFonts w:cs="Arial"/>
        </w:rPr>
      </w:pPr>
      <w:r w:rsidRPr="006A6CE3">
        <w:rPr>
          <w:rFonts w:cs="Arial"/>
        </w:rPr>
        <w:t xml:space="preserve">Radioactive waste also follows these general principles of a duty of care and the hierarchies approach. However, in conjunction with the nuclear industry, the Environment Agency has developed and published a Nuclear </w:t>
      </w:r>
      <w:proofErr w:type="spellStart"/>
      <w:r w:rsidRPr="006A6CE3">
        <w:rPr>
          <w:rFonts w:cs="Arial"/>
        </w:rPr>
        <w:t>Sectoral</w:t>
      </w:r>
      <w:proofErr w:type="spellEnd"/>
      <w:r w:rsidRPr="006A6CE3">
        <w:rPr>
          <w:rFonts w:cs="Arial"/>
        </w:rPr>
        <w:t xml:space="preserve"> Plan which sets out performance measures and targets for the Nuclear Sector. Objective 4 in this plan covers waste and gives targets therein and can be used as the basis for any data you wish to place in your corporate report.</w:t>
      </w:r>
    </w:p>
    <w:p w:rsidR="00913351" w:rsidRPr="006A6CE3" w:rsidRDefault="00C93591" w:rsidP="00873F77">
      <w:pPr>
        <w:rPr>
          <w:rFonts w:cs="Arial"/>
        </w:rPr>
      </w:pPr>
      <w:hyperlink r:id="rId97" w:history="1">
        <w:r w:rsidR="00913351" w:rsidRPr="006A6CE3">
          <w:rPr>
            <w:rStyle w:val="Hyperlink"/>
            <w:rFonts w:cs="Arial"/>
            <w:szCs w:val="24"/>
          </w:rPr>
          <w:t>http://publications.environment-agency.gov.uk/pdf/GEHO0709BQGI-e-e.pdf</w:t>
        </w:r>
      </w:hyperlink>
    </w:p>
    <w:p w:rsidR="00913351" w:rsidRPr="006A6CE3" w:rsidRDefault="00913351" w:rsidP="00873F77">
      <w:pPr>
        <w:rPr>
          <w:rFonts w:cs="Arial"/>
          <w:b/>
        </w:rPr>
      </w:pPr>
      <w:r w:rsidRPr="006A6CE3">
        <w:rPr>
          <w:rFonts w:cs="Arial"/>
        </w:rPr>
        <w:t xml:space="preserve">Regulatory details with respect to waste can be found on the Defra website.  Other organisations which provide help and guidance with regard to your waste practices are the Environment Agency and WRAP. </w:t>
      </w:r>
    </w:p>
    <w:p w:rsidR="00913351" w:rsidRPr="006A6CE3" w:rsidRDefault="00913351" w:rsidP="00873F77">
      <w:pPr>
        <w:rPr>
          <w:rFonts w:cs="Arial"/>
        </w:rPr>
      </w:pPr>
      <w:r w:rsidRPr="006A6CE3">
        <w:rPr>
          <w:rFonts w:cs="Arial"/>
        </w:rPr>
        <w:t xml:space="preserve">The Environment Agency is also developing a set of tools known as </w:t>
      </w:r>
      <w:r w:rsidRPr="006A6CE3">
        <w:rPr>
          <w:rFonts w:cs="Arial"/>
          <w:b/>
          <w:bCs/>
          <w:i/>
          <w:iCs/>
        </w:rPr>
        <w:t xml:space="preserve">Resource Efficiency Appraisal Development </w:t>
      </w:r>
      <w:r w:rsidRPr="006A6CE3">
        <w:rPr>
          <w:rFonts w:cs="Arial"/>
        </w:rPr>
        <w:t xml:space="preserve">(READ) which organisations will be able to use to benchmark how well they manage resources such as materials and energy, and what are the biggest opportunities to improve. These tools will be available on the Environment Agency’s website. </w:t>
      </w:r>
    </w:p>
    <w:p w:rsidR="00913351" w:rsidRPr="00882016" w:rsidRDefault="00913351" w:rsidP="00EA5B43">
      <w:pPr>
        <w:pStyle w:val="Heading2"/>
        <w:rPr>
          <w:lang w:eastAsia="en-GB"/>
        </w:rPr>
      </w:pPr>
      <w:r w:rsidRPr="006A6CE3">
        <w:rPr>
          <w:lang w:eastAsia="en-GB"/>
        </w:rPr>
        <w:br w:type="page"/>
      </w:r>
      <w:bookmarkStart w:id="351" w:name="_Toc358054603"/>
      <w:bookmarkStart w:id="352" w:name="_Toc358060243"/>
      <w:bookmarkStart w:id="353" w:name="_Toc358302316"/>
      <w:bookmarkStart w:id="354" w:name="_Toc380763596"/>
      <w:r w:rsidRPr="00882016">
        <w:rPr>
          <w:lang w:eastAsia="en-GB"/>
        </w:rPr>
        <w:lastRenderedPageBreak/>
        <w:t>Annex K: Resource efficiency and materials</w:t>
      </w:r>
      <w:bookmarkEnd w:id="351"/>
      <w:bookmarkEnd w:id="352"/>
      <w:bookmarkEnd w:id="353"/>
      <w:bookmarkEnd w:id="354"/>
    </w:p>
    <w:p w:rsidR="00913351" w:rsidRPr="006A6CE3" w:rsidRDefault="00913351" w:rsidP="00E204D9">
      <w:pPr>
        <w:rPr>
          <w:rFonts w:cs="Arial"/>
          <w:b/>
          <w:color w:val="76923C"/>
          <w:sz w:val="28"/>
          <w:szCs w:val="28"/>
        </w:rPr>
      </w:pPr>
      <w:r w:rsidRPr="006A6CE3">
        <w:rPr>
          <w:rFonts w:cs="Arial"/>
          <w:b/>
          <w:color w:val="76923C"/>
          <w:sz w:val="28"/>
          <w:szCs w:val="28"/>
        </w:rPr>
        <w:t>Raw materials – Issues to consider</w:t>
      </w:r>
    </w:p>
    <w:p w:rsidR="00913351" w:rsidRPr="006A6CE3" w:rsidRDefault="00913351" w:rsidP="0086258B">
      <w:pPr>
        <w:numPr>
          <w:ilvl w:val="0"/>
          <w:numId w:val="15"/>
        </w:numPr>
        <w:spacing w:before="0" w:after="200" w:line="240" w:lineRule="auto"/>
        <w:rPr>
          <w:rFonts w:cs="Arial"/>
          <w:b/>
          <w:color w:val="000000"/>
          <w:szCs w:val="24"/>
        </w:rPr>
      </w:pPr>
      <w:r w:rsidRPr="006A6CE3">
        <w:rPr>
          <w:rFonts w:cs="Arial"/>
          <w:b/>
          <w:color w:val="000000"/>
          <w:szCs w:val="24"/>
        </w:rPr>
        <w:t>Aggregates</w:t>
      </w:r>
    </w:p>
    <w:p w:rsidR="00913351" w:rsidRPr="006A6CE3" w:rsidRDefault="00913351" w:rsidP="00873F77">
      <w:pPr>
        <w:rPr>
          <w:rFonts w:cs="Arial"/>
          <w:bCs/>
          <w:iCs/>
          <w:lang w:eastAsia="en-GB"/>
        </w:rPr>
      </w:pPr>
      <w:r w:rsidRPr="006A6CE3">
        <w:rPr>
          <w:rFonts w:cs="Arial"/>
          <w:lang w:eastAsia="en-GB"/>
        </w:rPr>
        <w:t xml:space="preserve">Aggregates in the context of this guidance are raw materials that are used to make construction products such as lime, mortar, asphalt and concrete.  Specifically, aggregates are defined as a </w:t>
      </w:r>
      <w:r w:rsidRPr="006A6CE3">
        <w:rPr>
          <w:rFonts w:cs="Arial"/>
          <w:bCs/>
          <w:iCs/>
          <w:lang w:eastAsia="en-GB"/>
        </w:rPr>
        <w:t>“granular material used in construction.  Aggregate may be natural, manufactured or recycled.” (European Standard BSEN 12620: 2002)</w:t>
      </w:r>
    </w:p>
    <w:p w:rsidR="00913351" w:rsidRPr="006A6CE3" w:rsidRDefault="00913351" w:rsidP="00873F77">
      <w:pPr>
        <w:rPr>
          <w:rFonts w:cs="Arial"/>
        </w:rPr>
      </w:pPr>
      <w:r w:rsidRPr="006A6CE3">
        <w:rPr>
          <w:rFonts w:cs="Arial"/>
        </w:rPr>
        <w:t>Aggregates are extracted by quarrying and mining operations but can also arise from secondary sources such as building and demolition waste. Q</w:t>
      </w:r>
      <w:r w:rsidRPr="006A6CE3">
        <w:rPr>
          <w:rFonts w:cs="Arial"/>
          <w:lang w:eastAsia="en-GB"/>
        </w:rPr>
        <w:t>uarrying, processing and the transportation of aggregates to the marketplace has the potential to both positively and negatively affect the environment, which in turn can have social as well as economic effects</w:t>
      </w:r>
    </w:p>
    <w:p w:rsidR="00913351" w:rsidRPr="006A6CE3" w:rsidRDefault="00913351" w:rsidP="00873F77">
      <w:pPr>
        <w:rPr>
          <w:rFonts w:cs="Arial"/>
          <w:lang w:eastAsia="en-GB"/>
        </w:rPr>
      </w:pPr>
      <w:r w:rsidRPr="006A6CE3">
        <w:rPr>
          <w:rFonts w:cs="Arial"/>
        </w:rPr>
        <w:t xml:space="preserve">For aggregates that are dredged from marine sources there are regulatory controls in place enacted through </w:t>
      </w:r>
      <w:hyperlink r:id="rId98" w:history="1">
        <w:r w:rsidRPr="006A6CE3">
          <w:rPr>
            <w:rStyle w:val="Hyperlink"/>
            <w:rFonts w:cs="Arial"/>
            <w:szCs w:val="24"/>
          </w:rPr>
          <w:t xml:space="preserve">Marine Works (Environmental Impact Assessment) Regulations 2007 </w:t>
        </w:r>
      </w:hyperlink>
      <w:r w:rsidRPr="006A6CE3">
        <w:rPr>
          <w:rStyle w:val="FootnoteReference"/>
          <w:rFonts w:cs="Arial"/>
          <w:szCs w:val="24"/>
        </w:rPr>
        <w:footnoteReference w:id="119"/>
      </w:r>
    </w:p>
    <w:p w:rsidR="00913351" w:rsidRPr="006A6CE3" w:rsidRDefault="00873F77" w:rsidP="00873F77">
      <w:pPr>
        <w:rPr>
          <w:rFonts w:cs="Arial"/>
          <w:lang w:eastAsia="en-GB"/>
        </w:rPr>
      </w:pPr>
      <w:r w:rsidRPr="006A6CE3">
        <w:rPr>
          <w:rFonts w:cs="Arial"/>
          <w:lang w:eastAsia="en-GB"/>
        </w:rPr>
        <w:t>Throughout</w:t>
      </w:r>
      <w:r w:rsidR="00913351" w:rsidRPr="006A6CE3">
        <w:rPr>
          <w:rFonts w:cs="Arial"/>
          <w:lang w:eastAsia="en-GB"/>
        </w:rPr>
        <w:t xml:space="preserve"> the world, sustainability controls are being applied to mining operations</w:t>
      </w:r>
      <w:r w:rsidR="00913351" w:rsidRPr="006A6CE3">
        <w:rPr>
          <w:rFonts w:cs="Arial"/>
        </w:rPr>
        <w:t xml:space="preserve"> (including oil, gas and coal), </w:t>
      </w:r>
      <w:r w:rsidR="00913351" w:rsidRPr="006A6CE3">
        <w:rPr>
          <w:rFonts w:cs="Arial"/>
          <w:lang w:eastAsia="en-GB"/>
        </w:rPr>
        <w:t xml:space="preserve">and project-specific key performance indicators are being developed to demonstrate to stakeholders that mining operations are complying with these wider requirements.  Some sector specific guides are: </w:t>
      </w:r>
    </w:p>
    <w:p w:rsidR="00913351" w:rsidRPr="006A6CE3" w:rsidRDefault="00913351" w:rsidP="0086258B">
      <w:pPr>
        <w:numPr>
          <w:ilvl w:val="0"/>
          <w:numId w:val="13"/>
        </w:numPr>
        <w:spacing w:before="0" w:after="200"/>
        <w:rPr>
          <w:rFonts w:cs="Arial"/>
          <w:szCs w:val="24"/>
          <w:lang w:eastAsia="en-GB"/>
        </w:rPr>
      </w:pPr>
      <w:r w:rsidRPr="006A6CE3">
        <w:rPr>
          <w:rFonts w:cs="Arial"/>
          <w:szCs w:val="24"/>
          <w:lang w:eastAsia="en-GB"/>
        </w:rPr>
        <w:t>The International Council on Mining and Metals (ICCM) has 10 Sustainability Principles with which members must comply</w:t>
      </w:r>
      <w:r w:rsidRPr="006A6CE3">
        <w:rPr>
          <w:rStyle w:val="FootnoteReference"/>
          <w:rFonts w:cs="Arial"/>
          <w:szCs w:val="24"/>
          <w:lang w:eastAsia="en-GB"/>
        </w:rPr>
        <w:footnoteReference w:id="120"/>
      </w:r>
      <w:r w:rsidRPr="006A6CE3">
        <w:rPr>
          <w:rFonts w:cs="Arial"/>
          <w:szCs w:val="24"/>
          <w:lang w:eastAsia="en-GB"/>
        </w:rPr>
        <w:t xml:space="preserve">. </w:t>
      </w:r>
    </w:p>
    <w:p w:rsidR="00913351" w:rsidRPr="006A6CE3" w:rsidRDefault="00913351" w:rsidP="0086258B">
      <w:pPr>
        <w:numPr>
          <w:ilvl w:val="0"/>
          <w:numId w:val="13"/>
        </w:numPr>
        <w:spacing w:before="0" w:after="200"/>
        <w:rPr>
          <w:rFonts w:cs="Arial"/>
          <w:szCs w:val="24"/>
        </w:rPr>
      </w:pPr>
      <w:r w:rsidRPr="006A6CE3">
        <w:rPr>
          <w:rFonts w:cs="Arial"/>
          <w:color w:val="000000"/>
          <w:szCs w:val="24"/>
        </w:rPr>
        <w:t xml:space="preserve">The Global Reporting Initiative (GRI) produces sector supplements that are relevant to this chapter for mining and metals sector </w:t>
      </w:r>
      <w:r w:rsidRPr="006A6CE3">
        <w:rPr>
          <w:rStyle w:val="FootnoteReference"/>
          <w:rFonts w:cs="Arial"/>
          <w:color w:val="000000"/>
          <w:szCs w:val="24"/>
        </w:rPr>
        <w:footnoteReference w:id="121"/>
      </w:r>
      <w:r w:rsidRPr="006A6CE3">
        <w:rPr>
          <w:rFonts w:cs="Arial"/>
          <w:color w:val="000000"/>
          <w:szCs w:val="24"/>
        </w:rPr>
        <w:t xml:space="preserve"> and the oil and gas sector</w:t>
      </w:r>
      <w:r w:rsidRPr="006A6CE3">
        <w:rPr>
          <w:rStyle w:val="FootnoteReference"/>
          <w:rFonts w:cs="Arial"/>
          <w:color w:val="000000"/>
          <w:szCs w:val="24"/>
        </w:rPr>
        <w:footnoteReference w:id="122"/>
      </w:r>
      <w:r w:rsidRPr="006A6CE3">
        <w:rPr>
          <w:rFonts w:cs="Arial"/>
          <w:color w:val="000000"/>
          <w:szCs w:val="24"/>
        </w:rPr>
        <w:t>.If you have used the GRI reporting framework and obtained a GRI grade level this should be detailed, including where you</w:t>
      </w:r>
      <w:r w:rsidRPr="006A6CE3">
        <w:rPr>
          <w:rFonts w:cs="Arial"/>
          <w:szCs w:val="24"/>
        </w:rPr>
        <w:t xml:space="preserve"> have sought independent third party assurance. These GRI reports can be used in lieu of this guidance (except for the process of fracking - see below - which is not contained within the GRI documents and should be reported on).</w:t>
      </w:r>
    </w:p>
    <w:p w:rsidR="00913351" w:rsidRPr="006A6CE3" w:rsidRDefault="00913351" w:rsidP="0086258B">
      <w:pPr>
        <w:numPr>
          <w:ilvl w:val="0"/>
          <w:numId w:val="13"/>
        </w:numPr>
        <w:spacing w:before="0" w:after="200"/>
        <w:rPr>
          <w:rFonts w:cs="Arial"/>
          <w:szCs w:val="24"/>
          <w:lang w:eastAsia="en-GB"/>
        </w:rPr>
      </w:pPr>
      <w:r w:rsidRPr="006A6CE3">
        <w:rPr>
          <w:rFonts w:cs="Arial"/>
          <w:szCs w:val="24"/>
          <w:lang w:eastAsia="en-GB"/>
        </w:rPr>
        <w:lastRenderedPageBreak/>
        <w:t xml:space="preserve">Minerals UK also </w:t>
      </w:r>
      <w:r w:rsidRPr="006A6CE3">
        <w:rPr>
          <w:rFonts w:cs="Arial"/>
          <w:szCs w:val="24"/>
        </w:rPr>
        <w:t>offer an introduction to minerals and sustainability</w:t>
      </w:r>
      <w:r w:rsidRPr="006A6CE3">
        <w:rPr>
          <w:rStyle w:val="FootnoteReference"/>
          <w:rFonts w:cs="Arial"/>
          <w:szCs w:val="24"/>
        </w:rPr>
        <w:footnoteReference w:id="123"/>
      </w:r>
      <w:r w:rsidRPr="006A6CE3">
        <w:rPr>
          <w:rFonts w:cs="Arial"/>
          <w:szCs w:val="24"/>
        </w:rPr>
        <w:t>.</w:t>
      </w:r>
    </w:p>
    <w:p w:rsidR="00913351" w:rsidRPr="006A6CE3" w:rsidRDefault="00913351" w:rsidP="0086258B">
      <w:pPr>
        <w:numPr>
          <w:ilvl w:val="0"/>
          <w:numId w:val="15"/>
        </w:numPr>
        <w:spacing w:before="0" w:after="200"/>
        <w:rPr>
          <w:rFonts w:cs="Arial"/>
          <w:b/>
          <w:szCs w:val="24"/>
          <w:lang w:eastAsia="en-GB"/>
        </w:rPr>
      </w:pPr>
      <w:r w:rsidRPr="006A6CE3">
        <w:rPr>
          <w:rFonts w:cs="Arial"/>
          <w:b/>
          <w:szCs w:val="24"/>
          <w:lang w:eastAsia="en-GB"/>
        </w:rPr>
        <w:t xml:space="preserve">Biomass </w:t>
      </w:r>
    </w:p>
    <w:p w:rsidR="00913351" w:rsidRPr="006A6CE3" w:rsidRDefault="00913351" w:rsidP="00873F77">
      <w:pPr>
        <w:rPr>
          <w:rFonts w:cs="Arial"/>
          <w:color w:val="000000"/>
          <w:lang w:eastAsia="en-GB"/>
        </w:rPr>
      </w:pPr>
      <w:r w:rsidRPr="006A6CE3">
        <w:rPr>
          <w:rFonts w:cs="Arial"/>
          <w:lang w:eastAsia="en-GB"/>
        </w:rPr>
        <w:t>Biomass is defined as the total dry organic matter or stored energy content of living organisms</w:t>
      </w:r>
      <w:r w:rsidRPr="006A6CE3">
        <w:rPr>
          <w:rStyle w:val="FootnoteReference"/>
          <w:rFonts w:cs="Arial"/>
          <w:szCs w:val="24"/>
          <w:lang w:eastAsia="en-GB"/>
        </w:rPr>
        <w:footnoteReference w:id="124"/>
      </w:r>
      <w:r w:rsidRPr="006A6CE3">
        <w:rPr>
          <w:rFonts w:cs="Arial"/>
          <w:lang w:eastAsia="en-GB"/>
        </w:rPr>
        <w:t xml:space="preserve">. </w:t>
      </w:r>
      <w:r w:rsidRPr="006A6CE3">
        <w:rPr>
          <w:rFonts w:cs="Arial"/>
        </w:rPr>
        <w:t xml:space="preserve">Biomass is the fourth largest energy source in the world after coal, oil and natural gas. </w:t>
      </w:r>
    </w:p>
    <w:p w:rsidR="00913351" w:rsidRPr="006A6CE3" w:rsidRDefault="00913351" w:rsidP="00873F77">
      <w:pPr>
        <w:rPr>
          <w:rFonts w:cs="Arial"/>
          <w:b/>
        </w:rPr>
      </w:pPr>
      <w:r w:rsidRPr="006A6CE3">
        <w:rPr>
          <w:rFonts w:cs="Arial"/>
          <w:color w:val="000000"/>
          <w:lang w:eastAsia="en-GB"/>
        </w:rPr>
        <w:t>Biomass is the resource that is grown or collected, to be differentiated from bio-fuel which is a fuel manufactured from biomass (such as chips, pellets, biodiesel etc.). Bio-energy is the use to which the fuel is put to supply energy, e.g. heat, transport or electricity.</w:t>
      </w:r>
      <w:r w:rsidRPr="006A6CE3">
        <w:rPr>
          <w:rFonts w:cs="Arial"/>
          <w:b/>
        </w:rPr>
        <w:t xml:space="preserve"> </w:t>
      </w:r>
      <w:r w:rsidRPr="006A6CE3">
        <w:rPr>
          <w:rFonts w:cs="Arial"/>
        </w:rPr>
        <w:t>Regulations and directives that control how and where biomass derived fuels and conversion technologies can be used are listed in the footnote.</w:t>
      </w:r>
      <w:r w:rsidRPr="006A6CE3">
        <w:rPr>
          <w:rStyle w:val="FootnoteReference"/>
          <w:rFonts w:cs="Arial"/>
          <w:szCs w:val="24"/>
        </w:rPr>
        <w:footnoteReference w:id="125"/>
      </w:r>
      <w:r w:rsidRPr="006A6CE3">
        <w:rPr>
          <w:rFonts w:cs="Arial"/>
        </w:rPr>
        <w:t>.</w:t>
      </w:r>
      <w:r w:rsidRPr="006A6CE3">
        <w:rPr>
          <w:rFonts w:cs="Arial"/>
          <w:b/>
        </w:rPr>
        <w:t xml:space="preserve"> </w:t>
      </w:r>
    </w:p>
    <w:p w:rsidR="00913351" w:rsidRPr="006A6CE3" w:rsidRDefault="00913351" w:rsidP="00873F77">
      <w:pPr>
        <w:rPr>
          <w:rFonts w:cs="Arial"/>
          <w:color w:val="000000"/>
        </w:rPr>
      </w:pPr>
      <w:r w:rsidRPr="006A6CE3">
        <w:rPr>
          <w:rFonts w:cs="Arial"/>
          <w:color w:val="000000"/>
        </w:rPr>
        <w:t xml:space="preserve"> Biomass resources can be classified according to the supply sector, as shown in the table below. There are five basic categories of biomass material: </w:t>
      </w:r>
    </w:p>
    <w:p w:rsidR="00913351" w:rsidRPr="006A6CE3" w:rsidRDefault="00913351" w:rsidP="0086258B">
      <w:pPr>
        <w:numPr>
          <w:ilvl w:val="0"/>
          <w:numId w:val="14"/>
        </w:numPr>
        <w:spacing w:before="0" w:after="200"/>
        <w:rPr>
          <w:rFonts w:cs="Arial"/>
          <w:color w:val="000000"/>
          <w:szCs w:val="24"/>
        </w:rPr>
      </w:pPr>
      <w:r w:rsidRPr="006A6CE3">
        <w:rPr>
          <w:rFonts w:cs="Arial"/>
          <w:color w:val="000000"/>
          <w:szCs w:val="24"/>
        </w:rPr>
        <w:t xml:space="preserve">virgin wood from forestry, </w:t>
      </w:r>
      <w:proofErr w:type="spellStart"/>
      <w:r w:rsidRPr="006A6CE3">
        <w:rPr>
          <w:rFonts w:cs="Arial"/>
          <w:color w:val="000000"/>
          <w:szCs w:val="24"/>
        </w:rPr>
        <w:t>arboricultural</w:t>
      </w:r>
      <w:proofErr w:type="spellEnd"/>
      <w:r w:rsidRPr="006A6CE3">
        <w:rPr>
          <w:rFonts w:cs="Arial"/>
          <w:color w:val="000000"/>
          <w:szCs w:val="24"/>
        </w:rPr>
        <w:t xml:space="preserve"> activities or from wood processing; </w:t>
      </w:r>
    </w:p>
    <w:p w:rsidR="00913351" w:rsidRPr="006A6CE3" w:rsidRDefault="00913351" w:rsidP="0086258B">
      <w:pPr>
        <w:numPr>
          <w:ilvl w:val="0"/>
          <w:numId w:val="14"/>
        </w:numPr>
        <w:spacing w:before="0" w:after="200"/>
        <w:rPr>
          <w:rFonts w:cs="Arial"/>
          <w:color w:val="000000"/>
          <w:szCs w:val="24"/>
        </w:rPr>
      </w:pPr>
      <w:r w:rsidRPr="006A6CE3">
        <w:rPr>
          <w:rFonts w:cs="Arial"/>
          <w:color w:val="000000"/>
          <w:szCs w:val="24"/>
        </w:rPr>
        <w:t xml:space="preserve">energy crops, both high yield and grown specifically for energy applications; </w:t>
      </w:r>
    </w:p>
    <w:p w:rsidR="00913351" w:rsidRPr="006A6CE3" w:rsidRDefault="00913351" w:rsidP="0086258B">
      <w:pPr>
        <w:numPr>
          <w:ilvl w:val="0"/>
          <w:numId w:val="14"/>
        </w:numPr>
        <w:spacing w:before="0" w:after="200"/>
        <w:rPr>
          <w:rFonts w:cs="Arial"/>
          <w:color w:val="000000"/>
          <w:szCs w:val="24"/>
        </w:rPr>
      </w:pPr>
      <w:r w:rsidRPr="006A6CE3">
        <w:rPr>
          <w:rFonts w:cs="Arial"/>
          <w:color w:val="000000"/>
          <w:szCs w:val="24"/>
        </w:rPr>
        <w:t xml:space="preserve">agricultural residues from harvesting or processing; </w:t>
      </w:r>
    </w:p>
    <w:p w:rsidR="00913351" w:rsidRPr="006A6CE3" w:rsidRDefault="00913351" w:rsidP="0086258B">
      <w:pPr>
        <w:numPr>
          <w:ilvl w:val="0"/>
          <w:numId w:val="14"/>
        </w:numPr>
        <w:spacing w:before="0" w:after="200"/>
        <w:rPr>
          <w:rFonts w:cs="Arial"/>
          <w:color w:val="000000"/>
          <w:szCs w:val="24"/>
        </w:rPr>
      </w:pPr>
      <w:r w:rsidRPr="006A6CE3">
        <w:rPr>
          <w:rFonts w:cs="Arial"/>
          <w:color w:val="000000"/>
          <w:szCs w:val="24"/>
        </w:rPr>
        <w:t xml:space="preserve">food waste from manufacture, preparation/processing, and post-consumer waste; and </w:t>
      </w:r>
    </w:p>
    <w:p w:rsidR="00913351" w:rsidRPr="006A6CE3" w:rsidRDefault="00913351" w:rsidP="0086258B">
      <w:pPr>
        <w:numPr>
          <w:ilvl w:val="0"/>
          <w:numId w:val="14"/>
        </w:numPr>
        <w:spacing w:before="0" w:after="200"/>
        <w:rPr>
          <w:rFonts w:cs="Arial"/>
          <w:szCs w:val="24"/>
        </w:rPr>
      </w:pPr>
      <w:proofErr w:type="gramStart"/>
      <w:r w:rsidRPr="006A6CE3">
        <w:rPr>
          <w:rFonts w:cs="Arial"/>
          <w:color w:val="000000"/>
          <w:szCs w:val="24"/>
        </w:rPr>
        <w:t>industrial</w:t>
      </w:r>
      <w:proofErr w:type="gramEnd"/>
      <w:r w:rsidRPr="006A6CE3">
        <w:rPr>
          <w:rFonts w:cs="Arial"/>
          <w:color w:val="000000"/>
          <w:szCs w:val="24"/>
        </w:rPr>
        <w:t xml:space="preserve"> waste, including co-products from manufacturing and industrial processes.  </w:t>
      </w:r>
    </w:p>
    <w:tbl>
      <w:tblPr>
        <w:tblW w:w="8250" w:type="dxa"/>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1563"/>
        <w:gridCol w:w="1995"/>
        <w:gridCol w:w="4692"/>
      </w:tblGrid>
      <w:tr w:rsidR="00C64465" w:rsidRPr="006A6CE3" w:rsidTr="00AA48B1">
        <w:tc>
          <w:tcPr>
            <w:tcW w:w="1563" w:type="dxa"/>
            <w:shd w:val="clear" w:color="auto" w:fill="878800"/>
            <w:hideMark/>
          </w:tcPr>
          <w:p w:rsidR="00913351" w:rsidRPr="006A6CE3" w:rsidRDefault="00913351" w:rsidP="00E204D9">
            <w:pPr>
              <w:rPr>
                <w:rFonts w:cs="Arial"/>
                <w:color w:val="000000"/>
                <w:sz w:val="28"/>
                <w:szCs w:val="24"/>
              </w:rPr>
            </w:pPr>
            <w:r w:rsidRPr="006A6CE3">
              <w:rPr>
                <w:rFonts w:cs="Arial"/>
                <w:bCs/>
                <w:color w:val="000000"/>
                <w:sz w:val="28"/>
                <w:szCs w:val="24"/>
              </w:rPr>
              <w:t>Supply sector</w:t>
            </w:r>
          </w:p>
        </w:tc>
        <w:tc>
          <w:tcPr>
            <w:tcW w:w="1995" w:type="dxa"/>
            <w:shd w:val="clear" w:color="auto" w:fill="878800"/>
            <w:hideMark/>
          </w:tcPr>
          <w:p w:rsidR="00913351" w:rsidRPr="006A6CE3" w:rsidRDefault="00913351" w:rsidP="00E204D9">
            <w:pPr>
              <w:rPr>
                <w:rFonts w:cs="Arial"/>
                <w:color w:val="000000"/>
                <w:sz w:val="28"/>
                <w:szCs w:val="24"/>
              </w:rPr>
            </w:pPr>
            <w:r w:rsidRPr="006A6CE3">
              <w:rPr>
                <w:rFonts w:cs="Arial"/>
                <w:bCs/>
                <w:color w:val="000000"/>
                <w:sz w:val="28"/>
                <w:szCs w:val="24"/>
              </w:rPr>
              <w:t>Type</w:t>
            </w:r>
          </w:p>
        </w:tc>
        <w:tc>
          <w:tcPr>
            <w:tcW w:w="4692" w:type="dxa"/>
            <w:shd w:val="clear" w:color="auto" w:fill="878800"/>
            <w:hideMark/>
          </w:tcPr>
          <w:p w:rsidR="00913351" w:rsidRPr="006A6CE3" w:rsidRDefault="00913351" w:rsidP="00E204D9">
            <w:pPr>
              <w:rPr>
                <w:rFonts w:cs="Arial"/>
                <w:color w:val="000000"/>
                <w:sz w:val="28"/>
                <w:szCs w:val="24"/>
              </w:rPr>
            </w:pPr>
            <w:r w:rsidRPr="006A6CE3">
              <w:rPr>
                <w:rFonts w:cs="Arial"/>
                <w:bCs/>
                <w:color w:val="000000"/>
                <w:sz w:val="28"/>
                <w:szCs w:val="24"/>
              </w:rPr>
              <w:t>Example</w:t>
            </w:r>
          </w:p>
        </w:tc>
      </w:tr>
      <w:tr w:rsidR="00913351" w:rsidRPr="006A6CE3" w:rsidTr="00AA48B1">
        <w:tc>
          <w:tcPr>
            <w:tcW w:w="1563" w:type="dxa"/>
            <w:vMerge w:val="restart"/>
            <w:shd w:val="clear" w:color="auto" w:fill="FFFFFF"/>
            <w:hideMark/>
          </w:tcPr>
          <w:p w:rsidR="00913351" w:rsidRPr="006A6CE3" w:rsidRDefault="00913351" w:rsidP="00E204D9">
            <w:pPr>
              <w:rPr>
                <w:rFonts w:cs="Arial"/>
                <w:color w:val="000000"/>
                <w:sz w:val="22"/>
                <w:szCs w:val="24"/>
              </w:rPr>
            </w:pPr>
            <w:r w:rsidRPr="006A6CE3">
              <w:rPr>
                <w:rFonts w:cs="Arial"/>
                <w:color w:val="000000"/>
                <w:sz w:val="22"/>
                <w:szCs w:val="24"/>
              </w:rPr>
              <w:t>Forestry</w:t>
            </w:r>
          </w:p>
        </w:tc>
        <w:tc>
          <w:tcPr>
            <w:tcW w:w="1995" w:type="dxa"/>
            <w:shd w:val="clear" w:color="auto" w:fill="auto"/>
            <w:hideMark/>
          </w:tcPr>
          <w:p w:rsidR="00913351" w:rsidRPr="006A6CE3" w:rsidRDefault="00913351" w:rsidP="00E204D9">
            <w:pPr>
              <w:rPr>
                <w:rFonts w:cs="Arial"/>
                <w:color w:val="000000"/>
                <w:sz w:val="22"/>
                <w:szCs w:val="24"/>
              </w:rPr>
            </w:pPr>
            <w:r w:rsidRPr="006A6CE3">
              <w:rPr>
                <w:rFonts w:cs="Arial"/>
                <w:color w:val="000000"/>
                <w:sz w:val="22"/>
                <w:szCs w:val="24"/>
              </w:rPr>
              <w:t>Dedicated forestry</w:t>
            </w:r>
          </w:p>
        </w:tc>
        <w:tc>
          <w:tcPr>
            <w:tcW w:w="4692" w:type="dxa"/>
            <w:shd w:val="clear" w:color="auto" w:fill="auto"/>
            <w:hideMark/>
          </w:tcPr>
          <w:p w:rsidR="00913351" w:rsidRPr="006A6CE3" w:rsidRDefault="00913351" w:rsidP="00E204D9">
            <w:pPr>
              <w:rPr>
                <w:rFonts w:cs="Arial"/>
                <w:color w:val="000000"/>
                <w:sz w:val="22"/>
                <w:szCs w:val="24"/>
              </w:rPr>
            </w:pPr>
            <w:r w:rsidRPr="006A6CE3">
              <w:rPr>
                <w:rFonts w:cs="Arial"/>
                <w:color w:val="000000"/>
                <w:sz w:val="22"/>
                <w:szCs w:val="24"/>
              </w:rPr>
              <w:t>Short rotation plantations (e.g. willow, poplar, eucalyptus)</w:t>
            </w:r>
          </w:p>
        </w:tc>
      </w:tr>
      <w:tr w:rsidR="00913351" w:rsidRPr="006A6CE3" w:rsidTr="00AA48B1">
        <w:tc>
          <w:tcPr>
            <w:tcW w:w="0" w:type="auto"/>
            <w:vMerge/>
            <w:shd w:val="clear" w:color="auto" w:fill="FFFFFF"/>
            <w:hideMark/>
          </w:tcPr>
          <w:p w:rsidR="00913351" w:rsidRPr="006A6CE3" w:rsidRDefault="00913351" w:rsidP="00E204D9">
            <w:pPr>
              <w:rPr>
                <w:rFonts w:cs="Arial"/>
                <w:color w:val="000000"/>
                <w:sz w:val="22"/>
                <w:szCs w:val="24"/>
              </w:rPr>
            </w:pPr>
          </w:p>
        </w:tc>
        <w:tc>
          <w:tcPr>
            <w:tcW w:w="1995" w:type="dxa"/>
            <w:shd w:val="clear" w:color="auto" w:fill="auto"/>
            <w:hideMark/>
          </w:tcPr>
          <w:p w:rsidR="00913351" w:rsidRPr="006A6CE3" w:rsidRDefault="00913351" w:rsidP="00E204D9">
            <w:pPr>
              <w:rPr>
                <w:rFonts w:cs="Arial"/>
                <w:color w:val="000000"/>
                <w:sz w:val="22"/>
                <w:szCs w:val="24"/>
              </w:rPr>
            </w:pPr>
            <w:r w:rsidRPr="006A6CE3">
              <w:rPr>
                <w:rFonts w:cs="Arial"/>
                <w:color w:val="000000"/>
                <w:sz w:val="22"/>
                <w:szCs w:val="24"/>
              </w:rPr>
              <w:t>Forestry by-products</w:t>
            </w:r>
          </w:p>
        </w:tc>
        <w:tc>
          <w:tcPr>
            <w:tcW w:w="4692" w:type="dxa"/>
            <w:shd w:val="clear" w:color="auto" w:fill="auto"/>
            <w:hideMark/>
          </w:tcPr>
          <w:p w:rsidR="00913351" w:rsidRPr="006A6CE3" w:rsidRDefault="00913351" w:rsidP="00E204D9">
            <w:pPr>
              <w:rPr>
                <w:rFonts w:cs="Arial"/>
                <w:color w:val="000000"/>
                <w:sz w:val="22"/>
                <w:szCs w:val="24"/>
              </w:rPr>
            </w:pPr>
            <w:r w:rsidRPr="006A6CE3">
              <w:rPr>
                <w:rFonts w:cs="Arial"/>
                <w:color w:val="000000"/>
                <w:sz w:val="22"/>
                <w:szCs w:val="24"/>
              </w:rPr>
              <w:t xml:space="preserve">Wood blocks, wood chips from </w:t>
            </w:r>
            <w:proofErr w:type="spellStart"/>
            <w:r w:rsidRPr="006A6CE3">
              <w:rPr>
                <w:rFonts w:cs="Arial"/>
                <w:color w:val="000000"/>
                <w:sz w:val="22"/>
                <w:szCs w:val="24"/>
              </w:rPr>
              <w:t>thinnings</w:t>
            </w:r>
            <w:proofErr w:type="spellEnd"/>
          </w:p>
        </w:tc>
      </w:tr>
      <w:tr w:rsidR="00913351" w:rsidRPr="006A6CE3" w:rsidTr="00AA48B1">
        <w:tc>
          <w:tcPr>
            <w:tcW w:w="1563" w:type="dxa"/>
            <w:vMerge w:val="restart"/>
            <w:shd w:val="clear" w:color="auto" w:fill="FFFFFF"/>
            <w:hideMark/>
          </w:tcPr>
          <w:p w:rsidR="00913351" w:rsidRPr="006A6CE3" w:rsidRDefault="00913351" w:rsidP="00E204D9">
            <w:pPr>
              <w:rPr>
                <w:rFonts w:cs="Arial"/>
                <w:color w:val="000000"/>
                <w:sz w:val="22"/>
                <w:szCs w:val="24"/>
              </w:rPr>
            </w:pPr>
            <w:r w:rsidRPr="006A6CE3">
              <w:rPr>
                <w:rFonts w:cs="Arial"/>
                <w:color w:val="000000"/>
                <w:sz w:val="22"/>
                <w:szCs w:val="24"/>
              </w:rPr>
              <w:lastRenderedPageBreak/>
              <w:t>Agriculture</w:t>
            </w:r>
          </w:p>
        </w:tc>
        <w:tc>
          <w:tcPr>
            <w:tcW w:w="1995" w:type="dxa"/>
            <w:shd w:val="clear" w:color="auto" w:fill="auto"/>
            <w:hideMark/>
          </w:tcPr>
          <w:p w:rsidR="00913351" w:rsidRPr="006A6CE3" w:rsidRDefault="00913351" w:rsidP="00E204D9">
            <w:pPr>
              <w:rPr>
                <w:rFonts w:cs="Arial"/>
                <w:color w:val="000000"/>
                <w:sz w:val="22"/>
                <w:szCs w:val="24"/>
              </w:rPr>
            </w:pPr>
            <w:r w:rsidRPr="006A6CE3">
              <w:rPr>
                <w:rFonts w:cs="Arial"/>
                <w:color w:val="000000"/>
                <w:sz w:val="22"/>
                <w:szCs w:val="24"/>
              </w:rPr>
              <w:t xml:space="preserve">Dry </w:t>
            </w:r>
            <w:proofErr w:type="spellStart"/>
            <w:r w:rsidRPr="006A6CE3">
              <w:rPr>
                <w:rFonts w:cs="Arial"/>
                <w:color w:val="000000"/>
                <w:sz w:val="22"/>
                <w:szCs w:val="24"/>
              </w:rPr>
              <w:t>lignocellulosic</w:t>
            </w:r>
            <w:proofErr w:type="spellEnd"/>
            <w:r w:rsidRPr="006A6CE3">
              <w:rPr>
                <w:rFonts w:cs="Arial"/>
                <w:color w:val="000000"/>
                <w:sz w:val="22"/>
                <w:szCs w:val="24"/>
              </w:rPr>
              <w:t xml:space="preserve"> energy crops</w:t>
            </w:r>
          </w:p>
        </w:tc>
        <w:tc>
          <w:tcPr>
            <w:tcW w:w="4692" w:type="dxa"/>
            <w:shd w:val="clear" w:color="auto" w:fill="auto"/>
            <w:hideMark/>
          </w:tcPr>
          <w:p w:rsidR="00913351" w:rsidRPr="006A6CE3" w:rsidRDefault="00913351" w:rsidP="00E204D9">
            <w:pPr>
              <w:rPr>
                <w:rFonts w:cs="Arial"/>
                <w:color w:val="000000"/>
                <w:sz w:val="22"/>
                <w:szCs w:val="24"/>
              </w:rPr>
            </w:pPr>
            <w:r w:rsidRPr="006A6CE3">
              <w:rPr>
                <w:rFonts w:cs="Arial"/>
                <w:color w:val="000000"/>
                <w:sz w:val="22"/>
                <w:szCs w:val="24"/>
              </w:rPr>
              <w:t xml:space="preserve">Herbaceous crops (e.g. </w:t>
            </w:r>
            <w:proofErr w:type="spellStart"/>
            <w:r w:rsidRPr="006A6CE3">
              <w:rPr>
                <w:rFonts w:cs="Arial"/>
                <w:color w:val="000000"/>
                <w:sz w:val="22"/>
                <w:szCs w:val="24"/>
              </w:rPr>
              <w:t>miscanthus</w:t>
            </w:r>
            <w:proofErr w:type="spellEnd"/>
            <w:r w:rsidRPr="006A6CE3">
              <w:rPr>
                <w:rFonts w:cs="Arial"/>
                <w:color w:val="000000"/>
                <w:sz w:val="22"/>
                <w:szCs w:val="24"/>
              </w:rPr>
              <w:t>, reed canary grass, giant reed)</w:t>
            </w:r>
          </w:p>
        </w:tc>
      </w:tr>
      <w:tr w:rsidR="00913351" w:rsidRPr="006A6CE3" w:rsidTr="00AA48B1">
        <w:tc>
          <w:tcPr>
            <w:tcW w:w="0" w:type="auto"/>
            <w:vMerge/>
            <w:shd w:val="clear" w:color="auto" w:fill="FFFFFF"/>
            <w:hideMark/>
          </w:tcPr>
          <w:p w:rsidR="00913351" w:rsidRPr="006A6CE3" w:rsidRDefault="00913351" w:rsidP="00E204D9">
            <w:pPr>
              <w:rPr>
                <w:rFonts w:cs="Arial"/>
                <w:color w:val="000000"/>
                <w:sz w:val="22"/>
                <w:szCs w:val="24"/>
              </w:rPr>
            </w:pPr>
          </w:p>
        </w:tc>
        <w:tc>
          <w:tcPr>
            <w:tcW w:w="1995" w:type="dxa"/>
            <w:vMerge w:val="restart"/>
            <w:shd w:val="clear" w:color="auto" w:fill="auto"/>
            <w:hideMark/>
          </w:tcPr>
          <w:p w:rsidR="00913351" w:rsidRPr="006A6CE3" w:rsidRDefault="00913351" w:rsidP="00E204D9">
            <w:pPr>
              <w:rPr>
                <w:rFonts w:cs="Arial"/>
                <w:color w:val="000000"/>
                <w:sz w:val="22"/>
                <w:szCs w:val="24"/>
              </w:rPr>
            </w:pPr>
            <w:r w:rsidRPr="006A6CE3">
              <w:rPr>
                <w:rFonts w:cs="Arial"/>
                <w:color w:val="000000"/>
                <w:sz w:val="22"/>
                <w:szCs w:val="24"/>
              </w:rPr>
              <w:t>Oil, sugar and starch energy crops</w:t>
            </w:r>
          </w:p>
        </w:tc>
        <w:tc>
          <w:tcPr>
            <w:tcW w:w="4692" w:type="dxa"/>
            <w:shd w:val="clear" w:color="auto" w:fill="auto"/>
            <w:hideMark/>
          </w:tcPr>
          <w:p w:rsidR="00913351" w:rsidRPr="006A6CE3" w:rsidRDefault="00913351" w:rsidP="00E204D9">
            <w:pPr>
              <w:rPr>
                <w:rFonts w:cs="Arial"/>
                <w:color w:val="000000"/>
                <w:sz w:val="22"/>
                <w:szCs w:val="24"/>
              </w:rPr>
            </w:pPr>
            <w:r w:rsidRPr="006A6CE3">
              <w:rPr>
                <w:rFonts w:cs="Arial"/>
                <w:color w:val="000000"/>
                <w:sz w:val="22"/>
                <w:szCs w:val="24"/>
              </w:rPr>
              <w:t xml:space="preserve">Oil seeds for </w:t>
            </w:r>
            <w:proofErr w:type="spellStart"/>
            <w:r w:rsidRPr="006A6CE3">
              <w:rPr>
                <w:rFonts w:cs="Arial"/>
                <w:color w:val="000000"/>
                <w:sz w:val="22"/>
                <w:szCs w:val="24"/>
              </w:rPr>
              <w:t>methylesters</w:t>
            </w:r>
            <w:proofErr w:type="spellEnd"/>
            <w:r w:rsidRPr="006A6CE3">
              <w:rPr>
                <w:rFonts w:cs="Arial"/>
                <w:color w:val="000000"/>
                <w:sz w:val="22"/>
                <w:szCs w:val="24"/>
              </w:rPr>
              <w:t xml:space="preserve"> (e.g. rape seed, sunflower)</w:t>
            </w:r>
          </w:p>
        </w:tc>
      </w:tr>
      <w:tr w:rsidR="00913351" w:rsidRPr="006A6CE3" w:rsidTr="00AA48B1">
        <w:tc>
          <w:tcPr>
            <w:tcW w:w="0" w:type="auto"/>
            <w:vMerge/>
            <w:shd w:val="clear" w:color="auto" w:fill="FFFFFF"/>
            <w:hideMark/>
          </w:tcPr>
          <w:p w:rsidR="00913351" w:rsidRPr="006A6CE3" w:rsidRDefault="00913351" w:rsidP="00E204D9">
            <w:pPr>
              <w:rPr>
                <w:rFonts w:cs="Arial"/>
                <w:color w:val="000000"/>
                <w:sz w:val="22"/>
                <w:szCs w:val="24"/>
              </w:rPr>
            </w:pPr>
          </w:p>
        </w:tc>
        <w:tc>
          <w:tcPr>
            <w:tcW w:w="0" w:type="auto"/>
            <w:vMerge/>
            <w:shd w:val="clear" w:color="auto" w:fill="auto"/>
            <w:hideMark/>
          </w:tcPr>
          <w:p w:rsidR="00913351" w:rsidRPr="006A6CE3" w:rsidRDefault="00913351" w:rsidP="00E204D9">
            <w:pPr>
              <w:rPr>
                <w:rFonts w:cs="Arial"/>
                <w:color w:val="000000"/>
                <w:sz w:val="22"/>
                <w:szCs w:val="24"/>
              </w:rPr>
            </w:pPr>
          </w:p>
        </w:tc>
        <w:tc>
          <w:tcPr>
            <w:tcW w:w="4692" w:type="dxa"/>
            <w:shd w:val="clear" w:color="auto" w:fill="auto"/>
            <w:hideMark/>
          </w:tcPr>
          <w:p w:rsidR="00913351" w:rsidRPr="006A6CE3" w:rsidRDefault="00913351" w:rsidP="00E204D9">
            <w:pPr>
              <w:rPr>
                <w:rFonts w:cs="Arial"/>
                <w:color w:val="000000"/>
                <w:sz w:val="22"/>
                <w:szCs w:val="24"/>
              </w:rPr>
            </w:pPr>
            <w:r w:rsidRPr="006A6CE3">
              <w:rPr>
                <w:rFonts w:cs="Arial"/>
                <w:color w:val="000000"/>
                <w:sz w:val="22"/>
                <w:szCs w:val="24"/>
              </w:rPr>
              <w:t>Sugar crops for ethanol (e.g. sugar cane,</w:t>
            </w:r>
            <w:r w:rsidRPr="006A6CE3">
              <w:rPr>
                <w:rStyle w:val="apple-converted-space"/>
                <w:rFonts w:cs="Arial"/>
                <w:color w:val="000000"/>
                <w:sz w:val="22"/>
                <w:szCs w:val="24"/>
              </w:rPr>
              <w:t> </w:t>
            </w:r>
            <w:r w:rsidRPr="006A6CE3">
              <w:rPr>
                <w:rFonts w:cs="Arial"/>
                <w:color w:val="000000"/>
                <w:sz w:val="22"/>
                <w:szCs w:val="24"/>
              </w:rPr>
              <w:t>sweet sorghum)</w:t>
            </w:r>
          </w:p>
        </w:tc>
      </w:tr>
      <w:tr w:rsidR="00913351" w:rsidRPr="006A6CE3" w:rsidTr="00AA48B1">
        <w:tc>
          <w:tcPr>
            <w:tcW w:w="0" w:type="auto"/>
            <w:vMerge/>
            <w:shd w:val="clear" w:color="auto" w:fill="FFFFFF"/>
            <w:hideMark/>
          </w:tcPr>
          <w:p w:rsidR="00913351" w:rsidRPr="006A6CE3" w:rsidRDefault="00913351" w:rsidP="00E204D9">
            <w:pPr>
              <w:rPr>
                <w:rFonts w:cs="Arial"/>
                <w:color w:val="000000"/>
                <w:sz w:val="22"/>
                <w:szCs w:val="24"/>
              </w:rPr>
            </w:pPr>
          </w:p>
        </w:tc>
        <w:tc>
          <w:tcPr>
            <w:tcW w:w="0" w:type="auto"/>
            <w:vMerge/>
            <w:shd w:val="clear" w:color="auto" w:fill="auto"/>
            <w:hideMark/>
          </w:tcPr>
          <w:p w:rsidR="00913351" w:rsidRPr="006A6CE3" w:rsidRDefault="00913351" w:rsidP="00E204D9">
            <w:pPr>
              <w:rPr>
                <w:rFonts w:cs="Arial"/>
                <w:color w:val="000000"/>
                <w:sz w:val="22"/>
                <w:szCs w:val="24"/>
              </w:rPr>
            </w:pPr>
          </w:p>
        </w:tc>
        <w:tc>
          <w:tcPr>
            <w:tcW w:w="4692" w:type="dxa"/>
            <w:shd w:val="clear" w:color="auto" w:fill="auto"/>
            <w:hideMark/>
          </w:tcPr>
          <w:p w:rsidR="00913351" w:rsidRPr="006A6CE3" w:rsidRDefault="00913351" w:rsidP="00E204D9">
            <w:pPr>
              <w:rPr>
                <w:rFonts w:cs="Arial"/>
                <w:color w:val="000000"/>
                <w:sz w:val="22"/>
                <w:szCs w:val="24"/>
              </w:rPr>
            </w:pPr>
            <w:r w:rsidRPr="006A6CE3">
              <w:rPr>
                <w:rFonts w:cs="Arial"/>
                <w:color w:val="000000"/>
                <w:sz w:val="22"/>
                <w:szCs w:val="24"/>
              </w:rPr>
              <w:t>Starch crops for ethanol (e.g.</w:t>
            </w:r>
            <w:r w:rsidRPr="006A6CE3">
              <w:rPr>
                <w:rStyle w:val="apple-converted-space"/>
                <w:rFonts w:cs="Arial"/>
                <w:color w:val="000000"/>
                <w:sz w:val="22"/>
                <w:szCs w:val="24"/>
              </w:rPr>
              <w:t> </w:t>
            </w:r>
            <w:r w:rsidRPr="006A6CE3">
              <w:rPr>
                <w:rFonts w:cs="Arial"/>
                <w:color w:val="000000"/>
                <w:sz w:val="22"/>
                <w:szCs w:val="24"/>
              </w:rPr>
              <w:t>maize, wheat)</w:t>
            </w:r>
          </w:p>
        </w:tc>
      </w:tr>
      <w:tr w:rsidR="00913351" w:rsidRPr="006A6CE3" w:rsidTr="00AA48B1">
        <w:tc>
          <w:tcPr>
            <w:tcW w:w="0" w:type="auto"/>
            <w:vMerge/>
            <w:shd w:val="clear" w:color="auto" w:fill="FFFFFF"/>
            <w:hideMark/>
          </w:tcPr>
          <w:p w:rsidR="00913351" w:rsidRPr="006A6CE3" w:rsidRDefault="00913351" w:rsidP="00E204D9">
            <w:pPr>
              <w:rPr>
                <w:rFonts w:cs="Arial"/>
                <w:color w:val="000000"/>
                <w:sz w:val="22"/>
                <w:szCs w:val="24"/>
              </w:rPr>
            </w:pPr>
          </w:p>
        </w:tc>
        <w:tc>
          <w:tcPr>
            <w:tcW w:w="1995" w:type="dxa"/>
            <w:shd w:val="clear" w:color="auto" w:fill="auto"/>
            <w:hideMark/>
          </w:tcPr>
          <w:p w:rsidR="00913351" w:rsidRPr="006A6CE3" w:rsidRDefault="00913351" w:rsidP="00E204D9">
            <w:pPr>
              <w:rPr>
                <w:rFonts w:cs="Arial"/>
                <w:color w:val="000000"/>
                <w:sz w:val="22"/>
                <w:szCs w:val="24"/>
              </w:rPr>
            </w:pPr>
            <w:r w:rsidRPr="006A6CE3">
              <w:rPr>
                <w:rFonts w:cs="Arial"/>
                <w:color w:val="000000"/>
                <w:sz w:val="22"/>
                <w:szCs w:val="24"/>
              </w:rPr>
              <w:t>Agricultural residues</w:t>
            </w:r>
          </w:p>
        </w:tc>
        <w:tc>
          <w:tcPr>
            <w:tcW w:w="4692" w:type="dxa"/>
            <w:shd w:val="clear" w:color="auto" w:fill="auto"/>
            <w:hideMark/>
          </w:tcPr>
          <w:p w:rsidR="00913351" w:rsidRPr="006A6CE3" w:rsidRDefault="00913351" w:rsidP="00E204D9">
            <w:pPr>
              <w:rPr>
                <w:rFonts w:cs="Arial"/>
                <w:color w:val="000000"/>
                <w:sz w:val="22"/>
                <w:szCs w:val="24"/>
              </w:rPr>
            </w:pPr>
            <w:r w:rsidRPr="006A6CE3">
              <w:rPr>
                <w:rFonts w:cs="Arial"/>
                <w:color w:val="000000"/>
                <w:sz w:val="22"/>
                <w:szCs w:val="24"/>
              </w:rPr>
              <w:t xml:space="preserve">Straw, </w:t>
            </w:r>
            <w:proofErr w:type="spellStart"/>
            <w:r w:rsidRPr="006A6CE3">
              <w:rPr>
                <w:rFonts w:cs="Arial"/>
                <w:color w:val="000000"/>
                <w:sz w:val="22"/>
                <w:szCs w:val="24"/>
              </w:rPr>
              <w:t>prunings</w:t>
            </w:r>
            <w:proofErr w:type="spellEnd"/>
            <w:r w:rsidRPr="006A6CE3">
              <w:rPr>
                <w:rFonts w:cs="Arial"/>
                <w:color w:val="000000"/>
                <w:sz w:val="22"/>
                <w:szCs w:val="24"/>
              </w:rPr>
              <w:t xml:space="preserve"> from vineyards and fruit trees and excess production.</w:t>
            </w:r>
          </w:p>
        </w:tc>
      </w:tr>
      <w:tr w:rsidR="00913351" w:rsidRPr="006A6CE3" w:rsidTr="00AA48B1">
        <w:tc>
          <w:tcPr>
            <w:tcW w:w="0" w:type="auto"/>
            <w:vMerge/>
            <w:shd w:val="clear" w:color="auto" w:fill="FFFFFF"/>
            <w:hideMark/>
          </w:tcPr>
          <w:p w:rsidR="00913351" w:rsidRPr="006A6CE3" w:rsidRDefault="00913351" w:rsidP="00E204D9">
            <w:pPr>
              <w:rPr>
                <w:rFonts w:cs="Arial"/>
                <w:color w:val="000000"/>
                <w:sz w:val="22"/>
                <w:szCs w:val="24"/>
              </w:rPr>
            </w:pPr>
          </w:p>
        </w:tc>
        <w:tc>
          <w:tcPr>
            <w:tcW w:w="1995" w:type="dxa"/>
            <w:shd w:val="clear" w:color="auto" w:fill="auto"/>
            <w:hideMark/>
          </w:tcPr>
          <w:p w:rsidR="00913351" w:rsidRPr="006A6CE3" w:rsidRDefault="00913351" w:rsidP="00E204D9">
            <w:pPr>
              <w:rPr>
                <w:rFonts w:cs="Arial"/>
                <w:color w:val="000000"/>
                <w:sz w:val="22"/>
                <w:szCs w:val="24"/>
              </w:rPr>
            </w:pPr>
            <w:r w:rsidRPr="006A6CE3">
              <w:rPr>
                <w:rFonts w:cs="Arial"/>
                <w:color w:val="000000"/>
                <w:sz w:val="22"/>
                <w:szCs w:val="24"/>
              </w:rPr>
              <w:t>Livestock waste</w:t>
            </w:r>
          </w:p>
        </w:tc>
        <w:tc>
          <w:tcPr>
            <w:tcW w:w="4692" w:type="dxa"/>
            <w:shd w:val="clear" w:color="auto" w:fill="auto"/>
            <w:hideMark/>
          </w:tcPr>
          <w:p w:rsidR="00913351" w:rsidRPr="006A6CE3" w:rsidRDefault="00913351" w:rsidP="00E204D9">
            <w:pPr>
              <w:rPr>
                <w:rFonts w:cs="Arial"/>
                <w:color w:val="000000"/>
                <w:sz w:val="22"/>
                <w:szCs w:val="24"/>
              </w:rPr>
            </w:pPr>
            <w:r w:rsidRPr="006A6CE3">
              <w:rPr>
                <w:rFonts w:cs="Arial"/>
                <w:color w:val="000000"/>
                <w:sz w:val="22"/>
                <w:szCs w:val="24"/>
              </w:rPr>
              <w:t>Wet and dry manure, poultry litter</w:t>
            </w:r>
          </w:p>
        </w:tc>
      </w:tr>
      <w:tr w:rsidR="00913351" w:rsidRPr="006A6CE3" w:rsidTr="00AA48B1">
        <w:tc>
          <w:tcPr>
            <w:tcW w:w="1563" w:type="dxa"/>
            <w:vMerge w:val="restart"/>
            <w:shd w:val="clear" w:color="auto" w:fill="FFFFFF"/>
            <w:hideMark/>
          </w:tcPr>
          <w:p w:rsidR="00913351" w:rsidRPr="006A6CE3" w:rsidRDefault="00913351" w:rsidP="00E204D9">
            <w:pPr>
              <w:rPr>
                <w:rFonts w:cs="Arial"/>
                <w:color w:val="000000"/>
                <w:sz w:val="22"/>
                <w:szCs w:val="24"/>
              </w:rPr>
            </w:pPr>
            <w:r w:rsidRPr="006A6CE3">
              <w:rPr>
                <w:rFonts w:cs="Arial"/>
                <w:color w:val="000000"/>
                <w:sz w:val="22"/>
                <w:szCs w:val="24"/>
              </w:rPr>
              <w:t>Industry</w:t>
            </w:r>
          </w:p>
        </w:tc>
        <w:tc>
          <w:tcPr>
            <w:tcW w:w="1995" w:type="dxa"/>
            <w:vMerge w:val="restart"/>
            <w:shd w:val="clear" w:color="auto" w:fill="auto"/>
            <w:hideMark/>
          </w:tcPr>
          <w:p w:rsidR="00913351" w:rsidRPr="006A6CE3" w:rsidRDefault="00913351" w:rsidP="00E204D9">
            <w:pPr>
              <w:rPr>
                <w:rFonts w:cs="Arial"/>
                <w:color w:val="000000"/>
                <w:sz w:val="22"/>
                <w:szCs w:val="24"/>
              </w:rPr>
            </w:pPr>
            <w:r w:rsidRPr="006A6CE3">
              <w:rPr>
                <w:rFonts w:cs="Arial"/>
                <w:color w:val="000000"/>
                <w:sz w:val="22"/>
                <w:szCs w:val="24"/>
              </w:rPr>
              <w:t>Industrial residues</w:t>
            </w:r>
          </w:p>
        </w:tc>
        <w:tc>
          <w:tcPr>
            <w:tcW w:w="4692" w:type="dxa"/>
            <w:shd w:val="clear" w:color="auto" w:fill="auto"/>
            <w:hideMark/>
          </w:tcPr>
          <w:p w:rsidR="00913351" w:rsidRPr="006A6CE3" w:rsidRDefault="00913351" w:rsidP="00E204D9">
            <w:pPr>
              <w:rPr>
                <w:rFonts w:cs="Arial"/>
                <w:color w:val="000000"/>
                <w:sz w:val="22"/>
                <w:szCs w:val="24"/>
              </w:rPr>
            </w:pPr>
            <w:r w:rsidRPr="006A6CE3">
              <w:rPr>
                <w:rFonts w:cs="Arial"/>
                <w:color w:val="000000"/>
                <w:sz w:val="22"/>
                <w:szCs w:val="24"/>
              </w:rPr>
              <w:t>Industrial waste wood, sawdust from sawmills</w:t>
            </w:r>
          </w:p>
        </w:tc>
      </w:tr>
      <w:tr w:rsidR="00913351" w:rsidRPr="006A6CE3" w:rsidTr="00AA48B1">
        <w:trPr>
          <w:trHeight w:val="106"/>
        </w:trPr>
        <w:tc>
          <w:tcPr>
            <w:tcW w:w="0" w:type="auto"/>
            <w:vMerge/>
            <w:shd w:val="clear" w:color="auto" w:fill="FFFFFF"/>
            <w:hideMark/>
          </w:tcPr>
          <w:p w:rsidR="00913351" w:rsidRPr="006A6CE3" w:rsidRDefault="00913351" w:rsidP="00E204D9">
            <w:pPr>
              <w:rPr>
                <w:rFonts w:cs="Arial"/>
                <w:color w:val="000000"/>
                <w:sz w:val="22"/>
                <w:szCs w:val="24"/>
              </w:rPr>
            </w:pPr>
          </w:p>
        </w:tc>
        <w:tc>
          <w:tcPr>
            <w:tcW w:w="0" w:type="auto"/>
            <w:vMerge/>
            <w:shd w:val="clear" w:color="auto" w:fill="auto"/>
            <w:hideMark/>
          </w:tcPr>
          <w:p w:rsidR="00913351" w:rsidRPr="006A6CE3" w:rsidRDefault="00913351" w:rsidP="00E204D9">
            <w:pPr>
              <w:rPr>
                <w:rFonts w:cs="Arial"/>
                <w:color w:val="000000"/>
                <w:sz w:val="22"/>
                <w:szCs w:val="24"/>
              </w:rPr>
            </w:pPr>
          </w:p>
        </w:tc>
        <w:tc>
          <w:tcPr>
            <w:tcW w:w="4692" w:type="dxa"/>
            <w:shd w:val="clear" w:color="auto" w:fill="auto"/>
            <w:hideMark/>
          </w:tcPr>
          <w:p w:rsidR="00913351" w:rsidRPr="006A6CE3" w:rsidRDefault="00913351" w:rsidP="00E204D9">
            <w:pPr>
              <w:rPr>
                <w:rFonts w:cs="Arial"/>
                <w:color w:val="000000"/>
                <w:sz w:val="22"/>
                <w:szCs w:val="24"/>
              </w:rPr>
            </w:pPr>
            <w:r w:rsidRPr="006A6CE3">
              <w:rPr>
                <w:rFonts w:cs="Arial"/>
                <w:color w:val="000000"/>
                <w:sz w:val="22"/>
                <w:szCs w:val="24"/>
              </w:rPr>
              <w:t>Fibrous vegetable waste from paper industries</w:t>
            </w:r>
          </w:p>
        </w:tc>
      </w:tr>
      <w:tr w:rsidR="00913351" w:rsidRPr="006A6CE3" w:rsidTr="00AA48B1">
        <w:tc>
          <w:tcPr>
            <w:tcW w:w="1563" w:type="dxa"/>
            <w:vMerge w:val="restart"/>
            <w:shd w:val="clear" w:color="auto" w:fill="FFFFFF"/>
            <w:hideMark/>
          </w:tcPr>
          <w:p w:rsidR="00913351" w:rsidRPr="006A6CE3" w:rsidRDefault="00913351" w:rsidP="00E204D9">
            <w:pPr>
              <w:rPr>
                <w:rFonts w:cs="Arial"/>
                <w:color w:val="000000"/>
                <w:sz w:val="22"/>
                <w:szCs w:val="24"/>
              </w:rPr>
            </w:pPr>
            <w:r w:rsidRPr="006A6CE3">
              <w:rPr>
                <w:rFonts w:cs="Arial"/>
                <w:color w:val="000000"/>
                <w:sz w:val="22"/>
                <w:szCs w:val="24"/>
              </w:rPr>
              <w:t>Waste</w:t>
            </w:r>
          </w:p>
        </w:tc>
        <w:tc>
          <w:tcPr>
            <w:tcW w:w="1995" w:type="dxa"/>
            <w:shd w:val="clear" w:color="auto" w:fill="auto"/>
            <w:hideMark/>
          </w:tcPr>
          <w:p w:rsidR="00913351" w:rsidRPr="006A6CE3" w:rsidRDefault="00913351" w:rsidP="00E204D9">
            <w:pPr>
              <w:rPr>
                <w:rFonts w:cs="Arial"/>
                <w:color w:val="000000"/>
                <w:sz w:val="22"/>
                <w:szCs w:val="24"/>
              </w:rPr>
            </w:pPr>
            <w:r w:rsidRPr="006A6CE3">
              <w:rPr>
                <w:rFonts w:cs="Arial"/>
                <w:color w:val="000000"/>
                <w:sz w:val="22"/>
                <w:szCs w:val="24"/>
              </w:rPr>
              <w:t xml:space="preserve">Dry </w:t>
            </w:r>
            <w:proofErr w:type="spellStart"/>
            <w:r w:rsidRPr="006A6CE3">
              <w:rPr>
                <w:rFonts w:cs="Arial"/>
                <w:color w:val="000000"/>
                <w:sz w:val="22"/>
                <w:szCs w:val="24"/>
              </w:rPr>
              <w:t>lignocellulosic</w:t>
            </w:r>
            <w:proofErr w:type="spellEnd"/>
          </w:p>
        </w:tc>
        <w:tc>
          <w:tcPr>
            <w:tcW w:w="4692" w:type="dxa"/>
            <w:shd w:val="clear" w:color="auto" w:fill="auto"/>
            <w:hideMark/>
          </w:tcPr>
          <w:p w:rsidR="00913351" w:rsidRPr="006A6CE3" w:rsidRDefault="00913351" w:rsidP="00E204D9">
            <w:pPr>
              <w:rPr>
                <w:rFonts w:cs="Arial"/>
                <w:color w:val="000000"/>
                <w:sz w:val="22"/>
                <w:szCs w:val="24"/>
              </w:rPr>
            </w:pPr>
            <w:r w:rsidRPr="006A6CE3">
              <w:rPr>
                <w:rFonts w:cs="Arial"/>
                <w:color w:val="000000"/>
                <w:sz w:val="22"/>
                <w:szCs w:val="24"/>
              </w:rPr>
              <w:t xml:space="preserve">Residues from parks and gardens (e.g. </w:t>
            </w:r>
            <w:proofErr w:type="spellStart"/>
            <w:r w:rsidRPr="006A6CE3">
              <w:rPr>
                <w:rFonts w:cs="Arial"/>
                <w:color w:val="000000"/>
                <w:sz w:val="22"/>
                <w:szCs w:val="24"/>
              </w:rPr>
              <w:t>prunings</w:t>
            </w:r>
            <w:proofErr w:type="spellEnd"/>
            <w:r w:rsidRPr="006A6CE3">
              <w:rPr>
                <w:rFonts w:cs="Arial"/>
                <w:color w:val="000000"/>
                <w:sz w:val="22"/>
                <w:szCs w:val="24"/>
              </w:rPr>
              <w:t>, grass)</w:t>
            </w:r>
          </w:p>
        </w:tc>
      </w:tr>
      <w:tr w:rsidR="00913351" w:rsidRPr="006A6CE3" w:rsidTr="00AA48B1">
        <w:tc>
          <w:tcPr>
            <w:tcW w:w="0" w:type="auto"/>
            <w:vMerge/>
            <w:shd w:val="clear" w:color="auto" w:fill="FFFFFF"/>
            <w:hideMark/>
          </w:tcPr>
          <w:p w:rsidR="00913351" w:rsidRPr="006A6CE3" w:rsidRDefault="00913351" w:rsidP="00E204D9">
            <w:pPr>
              <w:rPr>
                <w:rFonts w:cs="Arial"/>
                <w:color w:val="000000"/>
                <w:sz w:val="22"/>
                <w:szCs w:val="24"/>
              </w:rPr>
            </w:pPr>
          </w:p>
        </w:tc>
        <w:tc>
          <w:tcPr>
            <w:tcW w:w="1995" w:type="dxa"/>
            <w:vMerge w:val="restart"/>
            <w:shd w:val="clear" w:color="auto" w:fill="auto"/>
            <w:hideMark/>
          </w:tcPr>
          <w:p w:rsidR="00913351" w:rsidRPr="006A6CE3" w:rsidRDefault="00913351" w:rsidP="00E204D9">
            <w:pPr>
              <w:rPr>
                <w:rFonts w:cs="Arial"/>
                <w:color w:val="000000"/>
                <w:sz w:val="22"/>
                <w:szCs w:val="24"/>
              </w:rPr>
            </w:pPr>
            <w:r w:rsidRPr="006A6CE3">
              <w:rPr>
                <w:rFonts w:cs="Arial"/>
                <w:color w:val="000000"/>
                <w:sz w:val="22"/>
                <w:szCs w:val="24"/>
              </w:rPr>
              <w:t>Contaminated waste</w:t>
            </w:r>
          </w:p>
        </w:tc>
        <w:tc>
          <w:tcPr>
            <w:tcW w:w="4692" w:type="dxa"/>
            <w:shd w:val="clear" w:color="auto" w:fill="auto"/>
            <w:hideMark/>
          </w:tcPr>
          <w:p w:rsidR="00913351" w:rsidRPr="006A6CE3" w:rsidRDefault="00913351" w:rsidP="00E204D9">
            <w:pPr>
              <w:rPr>
                <w:rFonts w:cs="Arial"/>
                <w:color w:val="000000"/>
                <w:sz w:val="22"/>
                <w:szCs w:val="24"/>
              </w:rPr>
            </w:pPr>
            <w:r w:rsidRPr="006A6CE3">
              <w:rPr>
                <w:rFonts w:cs="Arial"/>
                <w:color w:val="000000"/>
                <w:sz w:val="22"/>
                <w:szCs w:val="24"/>
              </w:rPr>
              <w:t>Demolition wood</w:t>
            </w:r>
          </w:p>
        </w:tc>
      </w:tr>
      <w:tr w:rsidR="00913351" w:rsidRPr="006A6CE3" w:rsidTr="00AA48B1">
        <w:tc>
          <w:tcPr>
            <w:tcW w:w="0" w:type="auto"/>
            <w:vMerge/>
            <w:shd w:val="clear" w:color="auto" w:fill="FFFFFF"/>
            <w:hideMark/>
          </w:tcPr>
          <w:p w:rsidR="00913351" w:rsidRPr="006A6CE3" w:rsidRDefault="00913351" w:rsidP="00E204D9">
            <w:pPr>
              <w:rPr>
                <w:rFonts w:cs="Arial"/>
                <w:color w:val="000000"/>
                <w:sz w:val="22"/>
                <w:szCs w:val="24"/>
              </w:rPr>
            </w:pPr>
          </w:p>
        </w:tc>
        <w:tc>
          <w:tcPr>
            <w:tcW w:w="0" w:type="auto"/>
            <w:vMerge/>
            <w:shd w:val="clear" w:color="auto" w:fill="auto"/>
            <w:hideMark/>
          </w:tcPr>
          <w:p w:rsidR="00913351" w:rsidRPr="006A6CE3" w:rsidRDefault="00913351" w:rsidP="00E204D9">
            <w:pPr>
              <w:rPr>
                <w:rFonts w:cs="Arial"/>
                <w:color w:val="000000"/>
                <w:sz w:val="22"/>
                <w:szCs w:val="24"/>
              </w:rPr>
            </w:pPr>
          </w:p>
        </w:tc>
        <w:tc>
          <w:tcPr>
            <w:tcW w:w="4692" w:type="dxa"/>
            <w:shd w:val="clear" w:color="auto" w:fill="auto"/>
            <w:hideMark/>
          </w:tcPr>
          <w:p w:rsidR="00913351" w:rsidRPr="006A6CE3" w:rsidRDefault="00913351" w:rsidP="00E204D9">
            <w:pPr>
              <w:rPr>
                <w:rFonts w:cs="Arial"/>
                <w:color w:val="000000"/>
                <w:sz w:val="22"/>
                <w:szCs w:val="24"/>
              </w:rPr>
            </w:pPr>
            <w:r w:rsidRPr="006A6CE3">
              <w:rPr>
                <w:rFonts w:cs="Arial"/>
                <w:color w:val="000000"/>
                <w:sz w:val="22"/>
                <w:szCs w:val="24"/>
              </w:rPr>
              <w:t>Organic fraction of municipal solid waste</w:t>
            </w:r>
          </w:p>
        </w:tc>
      </w:tr>
      <w:tr w:rsidR="00913351" w:rsidRPr="006A6CE3" w:rsidTr="00AA48B1">
        <w:tc>
          <w:tcPr>
            <w:tcW w:w="0" w:type="auto"/>
            <w:vMerge/>
            <w:shd w:val="clear" w:color="auto" w:fill="FFFFFF"/>
            <w:hideMark/>
          </w:tcPr>
          <w:p w:rsidR="00913351" w:rsidRPr="006A6CE3" w:rsidRDefault="00913351" w:rsidP="00E204D9">
            <w:pPr>
              <w:rPr>
                <w:rFonts w:cs="Arial"/>
                <w:color w:val="000000"/>
                <w:sz w:val="22"/>
                <w:szCs w:val="24"/>
              </w:rPr>
            </w:pPr>
          </w:p>
        </w:tc>
        <w:tc>
          <w:tcPr>
            <w:tcW w:w="0" w:type="auto"/>
            <w:vMerge/>
            <w:shd w:val="clear" w:color="auto" w:fill="auto"/>
            <w:hideMark/>
          </w:tcPr>
          <w:p w:rsidR="00913351" w:rsidRPr="006A6CE3" w:rsidRDefault="00913351" w:rsidP="00E204D9">
            <w:pPr>
              <w:rPr>
                <w:rFonts w:cs="Arial"/>
                <w:color w:val="000000"/>
                <w:sz w:val="22"/>
                <w:szCs w:val="24"/>
              </w:rPr>
            </w:pPr>
          </w:p>
        </w:tc>
        <w:tc>
          <w:tcPr>
            <w:tcW w:w="4692" w:type="dxa"/>
            <w:shd w:val="clear" w:color="auto" w:fill="auto"/>
            <w:hideMark/>
          </w:tcPr>
          <w:p w:rsidR="00913351" w:rsidRPr="006A6CE3" w:rsidRDefault="00913351" w:rsidP="00E204D9">
            <w:pPr>
              <w:rPr>
                <w:rFonts w:cs="Arial"/>
                <w:color w:val="000000"/>
                <w:sz w:val="22"/>
                <w:szCs w:val="24"/>
              </w:rPr>
            </w:pPr>
            <w:r w:rsidRPr="006A6CE3">
              <w:rPr>
                <w:rFonts w:cs="Arial"/>
                <w:color w:val="000000"/>
                <w:sz w:val="22"/>
                <w:szCs w:val="24"/>
              </w:rPr>
              <w:t>Biodegradable landfilled waste, landfill gas</w:t>
            </w:r>
          </w:p>
        </w:tc>
      </w:tr>
      <w:tr w:rsidR="00913351" w:rsidRPr="006A6CE3" w:rsidTr="00AA48B1">
        <w:tc>
          <w:tcPr>
            <w:tcW w:w="0" w:type="auto"/>
            <w:vMerge/>
            <w:shd w:val="clear" w:color="auto" w:fill="FFFFFF"/>
            <w:hideMark/>
          </w:tcPr>
          <w:p w:rsidR="00913351" w:rsidRPr="006A6CE3" w:rsidRDefault="00913351" w:rsidP="00E204D9">
            <w:pPr>
              <w:rPr>
                <w:rFonts w:cs="Arial"/>
                <w:color w:val="000000"/>
                <w:sz w:val="22"/>
                <w:szCs w:val="24"/>
              </w:rPr>
            </w:pPr>
          </w:p>
        </w:tc>
        <w:tc>
          <w:tcPr>
            <w:tcW w:w="0" w:type="auto"/>
            <w:vMerge/>
            <w:shd w:val="clear" w:color="auto" w:fill="auto"/>
            <w:hideMark/>
          </w:tcPr>
          <w:p w:rsidR="00913351" w:rsidRPr="006A6CE3" w:rsidRDefault="00913351" w:rsidP="00E204D9">
            <w:pPr>
              <w:rPr>
                <w:rFonts w:cs="Arial"/>
                <w:color w:val="000000"/>
                <w:sz w:val="22"/>
                <w:szCs w:val="24"/>
              </w:rPr>
            </w:pPr>
          </w:p>
        </w:tc>
        <w:tc>
          <w:tcPr>
            <w:tcW w:w="4692" w:type="dxa"/>
            <w:shd w:val="clear" w:color="auto" w:fill="auto"/>
            <w:hideMark/>
          </w:tcPr>
          <w:p w:rsidR="00913351" w:rsidRPr="006A6CE3" w:rsidRDefault="00913351" w:rsidP="00E204D9">
            <w:pPr>
              <w:rPr>
                <w:rFonts w:cs="Arial"/>
                <w:color w:val="000000"/>
                <w:sz w:val="22"/>
                <w:szCs w:val="24"/>
              </w:rPr>
            </w:pPr>
            <w:r w:rsidRPr="006A6CE3">
              <w:rPr>
                <w:rFonts w:cs="Arial"/>
                <w:color w:val="000000"/>
                <w:sz w:val="22"/>
                <w:szCs w:val="24"/>
              </w:rPr>
              <w:t>Sewage sludge</w:t>
            </w:r>
          </w:p>
        </w:tc>
      </w:tr>
    </w:tbl>
    <w:p w:rsidR="00913351" w:rsidRPr="006A6CE3" w:rsidRDefault="00913351" w:rsidP="00E204D9">
      <w:pPr>
        <w:rPr>
          <w:rFonts w:cs="Arial"/>
          <w:color w:val="000000"/>
          <w:szCs w:val="24"/>
          <w:lang w:eastAsia="en-GB"/>
        </w:rPr>
      </w:pPr>
    </w:p>
    <w:p w:rsidR="00913351" w:rsidRPr="006A6CE3" w:rsidRDefault="00913351" w:rsidP="0086258B">
      <w:pPr>
        <w:numPr>
          <w:ilvl w:val="0"/>
          <w:numId w:val="15"/>
        </w:numPr>
        <w:spacing w:before="0" w:after="200"/>
        <w:rPr>
          <w:rFonts w:cs="Arial"/>
          <w:b/>
          <w:szCs w:val="24"/>
          <w:lang w:eastAsia="en-GB"/>
        </w:rPr>
      </w:pPr>
      <w:r w:rsidRPr="006A6CE3">
        <w:rPr>
          <w:rFonts w:cs="Arial"/>
          <w:b/>
          <w:szCs w:val="24"/>
          <w:lang w:eastAsia="en-GB"/>
        </w:rPr>
        <w:t xml:space="preserve">Forestry </w:t>
      </w:r>
    </w:p>
    <w:p w:rsidR="00913351" w:rsidRPr="006A6CE3" w:rsidRDefault="00913351" w:rsidP="00873F77">
      <w:pPr>
        <w:rPr>
          <w:rFonts w:cs="Arial"/>
        </w:rPr>
      </w:pPr>
      <w:r w:rsidRPr="006A6CE3">
        <w:rPr>
          <w:rFonts w:cs="Arial"/>
          <w:lang w:eastAsia="en-GB"/>
        </w:rPr>
        <w:t xml:space="preserve">Wood is the largest resource of solid biomass. The forestry sector covers a wide range of different bio-fuels with different characteristics – wood logs, bark, wood chips, sawdust and more recently pellets. </w:t>
      </w:r>
      <w:r w:rsidRPr="006A6CE3">
        <w:rPr>
          <w:rFonts w:cs="Arial"/>
        </w:rPr>
        <w:t>The ecological functions of forests are highly valuable (genetic, species and ecosystem diversity) and should be maintained.  (</w:t>
      </w:r>
      <w:proofErr w:type="gramStart"/>
      <w:r w:rsidRPr="006A6CE3">
        <w:rPr>
          <w:rFonts w:cs="Arial"/>
        </w:rPr>
        <w:t>see</w:t>
      </w:r>
      <w:proofErr w:type="gramEnd"/>
      <w:r w:rsidRPr="006A6CE3">
        <w:rPr>
          <w:rFonts w:cs="Arial"/>
        </w:rPr>
        <w:t xml:space="preserve"> reporting guidance on biodiversity and ecosystems services).  </w:t>
      </w:r>
    </w:p>
    <w:p w:rsidR="00913351" w:rsidRPr="006A6CE3" w:rsidRDefault="00913351" w:rsidP="00873F77">
      <w:pPr>
        <w:rPr>
          <w:rFonts w:cs="Arial"/>
        </w:rPr>
      </w:pPr>
      <w:r w:rsidRPr="006A6CE3">
        <w:rPr>
          <w:rFonts w:cs="Arial"/>
        </w:rPr>
        <w:lastRenderedPageBreak/>
        <w:t xml:space="preserve">Forestry and wood are often considered renewable resources, but over-exploitation from plantations which are not sustainably managed, threatens the environment as a whole and in particular biodiversity. Harvesting and appropriate use of timber from legal or sustainably managed forests may be a positive indicator of environmental performance.  </w:t>
      </w:r>
    </w:p>
    <w:p w:rsidR="00913351" w:rsidRPr="006A6CE3" w:rsidRDefault="00913351" w:rsidP="00873F77">
      <w:pPr>
        <w:rPr>
          <w:rFonts w:cs="Arial"/>
          <w:lang w:eastAsia="en-GB"/>
        </w:rPr>
      </w:pPr>
      <w:r w:rsidRPr="006A6CE3">
        <w:rPr>
          <w:rFonts w:cs="Arial"/>
          <w:lang w:eastAsia="en-GB"/>
        </w:rPr>
        <w:t xml:space="preserve">The UK Forestry Standard (UKFS) is the reference standard for sustainable forest management in the UK.  </w:t>
      </w:r>
      <w:hyperlink r:id="rId99" w:history="1">
        <w:r w:rsidRPr="006A6CE3">
          <w:rPr>
            <w:rStyle w:val="Hyperlink"/>
            <w:rFonts w:cs="Arial"/>
            <w:szCs w:val="24"/>
            <w:lang w:eastAsia="en-GB"/>
          </w:rPr>
          <w:t>http://www.forestry.gov.uk/ukfs</w:t>
        </w:r>
      </w:hyperlink>
    </w:p>
    <w:p w:rsidR="00913351" w:rsidRPr="006A6CE3" w:rsidRDefault="00913351" w:rsidP="00873F77">
      <w:pPr>
        <w:rPr>
          <w:rFonts w:cs="Arial"/>
          <w:lang w:eastAsia="en-GB"/>
        </w:rPr>
      </w:pPr>
      <w:r w:rsidRPr="006A6CE3">
        <w:rPr>
          <w:rFonts w:cs="Arial"/>
        </w:rPr>
        <w:t xml:space="preserve">Further guidance can be found here: </w:t>
      </w:r>
      <w:hyperlink r:id="rId100" w:history="1">
        <w:r w:rsidRPr="006A6CE3">
          <w:rPr>
            <w:rStyle w:val="Hyperlink"/>
            <w:rFonts w:cs="Arial"/>
            <w:szCs w:val="24"/>
          </w:rPr>
          <w:t>http://www.forestry.gov.uk/pdf/FCPH001.pdf/$FILE/FCPH001.pdf</w:t>
        </w:r>
      </w:hyperlink>
    </w:p>
    <w:p w:rsidR="00913351" w:rsidRPr="006A6CE3" w:rsidRDefault="00913351" w:rsidP="00873F77">
      <w:pPr>
        <w:rPr>
          <w:rFonts w:cs="Arial"/>
        </w:rPr>
      </w:pPr>
      <w:r w:rsidRPr="006A6CE3">
        <w:rPr>
          <w:rFonts w:cs="Arial"/>
        </w:rPr>
        <w:t xml:space="preserve">Defra has also published guidance to help organisations report reductions in greenhouse gas (GHG) emissions resulting from investment in UK woodland creation projects and how organisations should account for the carbon savings associated with newly created woodland absorbing additional carbon dioxide from the atmosphere. The guidance should be used in conjunction with the Woodland Carbon Code whose purpose is to provide a robust quality assurance process that will promote market confidence in carbon sequestration by woodlands and re-assure investors that woodlands in which they have invested provide additional and permanent GHG abatement. </w:t>
      </w:r>
    </w:p>
    <w:p w:rsidR="00913351" w:rsidRPr="006A6CE3" w:rsidRDefault="00913351" w:rsidP="00E204D9">
      <w:pPr>
        <w:rPr>
          <w:rFonts w:cs="Arial"/>
          <w:szCs w:val="24"/>
          <w:lang w:eastAsia="en-GB"/>
        </w:rPr>
      </w:pPr>
    </w:p>
    <w:p w:rsidR="00913351" w:rsidRPr="006A6CE3" w:rsidRDefault="00913351" w:rsidP="00EA5B43">
      <w:pPr>
        <w:pStyle w:val="Heading2"/>
      </w:pPr>
      <w:r w:rsidRPr="006A6CE3">
        <w:br w:type="page"/>
      </w:r>
      <w:bookmarkStart w:id="355" w:name="_Toc358054604"/>
      <w:bookmarkStart w:id="356" w:name="_Toc358060244"/>
      <w:bookmarkStart w:id="357" w:name="_Toc358302317"/>
      <w:bookmarkStart w:id="358" w:name="_Toc380763597"/>
      <w:r w:rsidRPr="006A6CE3">
        <w:lastRenderedPageBreak/>
        <w:t>Annex L: Emissions to air, land and water</w:t>
      </w:r>
      <w:bookmarkEnd w:id="355"/>
      <w:bookmarkEnd w:id="356"/>
      <w:bookmarkEnd w:id="357"/>
      <w:bookmarkEnd w:id="358"/>
    </w:p>
    <w:p w:rsidR="00913351" w:rsidRPr="006A6CE3" w:rsidRDefault="00913351" w:rsidP="00873F77">
      <w:pPr>
        <w:rPr>
          <w:rFonts w:cs="Arial"/>
        </w:rPr>
      </w:pPr>
      <w:r w:rsidRPr="006A6CE3">
        <w:rPr>
          <w:rFonts w:cs="Arial"/>
        </w:rPr>
        <w:t>This Annex explores in greater detail the background behind the reporting recommendations and provides further detail about the relevant legislation.</w:t>
      </w:r>
    </w:p>
    <w:p w:rsidR="00913351" w:rsidRPr="006A6CE3" w:rsidRDefault="00913351" w:rsidP="00873F77">
      <w:pPr>
        <w:rPr>
          <w:rFonts w:cs="Arial"/>
          <w:b/>
          <w:color w:val="76923C"/>
          <w:sz w:val="28"/>
          <w:szCs w:val="28"/>
        </w:rPr>
      </w:pPr>
      <w:r w:rsidRPr="006A6CE3">
        <w:rPr>
          <w:rFonts w:cs="Arial"/>
          <w:b/>
          <w:color w:val="76923C"/>
          <w:sz w:val="28"/>
          <w:szCs w:val="28"/>
        </w:rPr>
        <w:t>Background</w:t>
      </w:r>
    </w:p>
    <w:p w:rsidR="00913351" w:rsidRPr="006A6CE3" w:rsidRDefault="00913351" w:rsidP="00873F77">
      <w:pPr>
        <w:rPr>
          <w:rFonts w:cs="Arial"/>
          <w:b/>
        </w:rPr>
      </w:pPr>
      <w:r w:rsidRPr="006A6CE3">
        <w:rPr>
          <w:rFonts w:cs="Arial"/>
          <w:b/>
        </w:rPr>
        <w:t>1.1 Emissions to Air</w:t>
      </w:r>
    </w:p>
    <w:p w:rsidR="00913351" w:rsidRPr="006A6CE3" w:rsidRDefault="00913351" w:rsidP="00873F77">
      <w:pPr>
        <w:rPr>
          <w:rFonts w:cs="Arial"/>
          <w:b/>
        </w:rPr>
      </w:pPr>
      <w:r w:rsidRPr="006A6CE3">
        <w:rPr>
          <w:rFonts w:cs="Arial"/>
          <w:color w:val="000000"/>
        </w:rPr>
        <w:t>Whereas greenhouse gases are most active high in the atmosphere, the most important factor for air quality is the concentration of emissions closer to the ground. Nevertheless, air emissions can travel long distances, chemically reacting in the atmosphere to produce other pollutants, leading to air pollution problems locally as well as a long way from the source.</w:t>
      </w:r>
    </w:p>
    <w:p w:rsidR="00913351" w:rsidRPr="006A6CE3" w:rsidRDefault="00913351" w:rsidP="00E204D9">
      <w:pPr>
        <w:rPr>
          <w:rFonts w:cs="Arial"/>
          <w:color w:val="000000"/>
        </w:rPr>
      </w:pPr>
      <w:r w:rsidRPr="006A6CE3">
        <w:rPr>
          <w:rFonts w:cs="Arial"/>
          <w:color w:val="000000"/>
        </w:rPr>
        <w:t>There is an important distinction between emissions of air pollutants and the concentrations of such pollutants in the air we breathe.  Emissions contribute to the concentration of pollutants in ambient air, so it is essential to monitor the amount emitted. It is the concentration in the air we breathe that affects human health and the environment.</w:t>
      </w:r>
      <w:r w:rsidRPr="006A6CE3" w:rsidDel="00C36A3A">
        <w:rPr>
          <w:rFonts w:cs="Arial"/>
          <w:color w:val="000000"/>
        </w:rPr>
        <w:t xml:space="preserve"> </w:t>
      </w:r>
    </w:p>
    <w:p w:rsidR="00913351" w:rsidRPr="006A6CE3" w:rsidRDefault="00913351" w:rsidP="00E204D9">
      <w:pPr>
        <w:spacing w:before="0"/>
        <w:rPr>
          <w:rFonts w:cs="Arial"/>
          <w:lang w:eastAsia="en-GB"/>
        </w:rPr>
      </w:pPr>
      <w:r w:rsidRPr="006A6CE3">
        <w:rPr>
          <w:rFonts w:cs="Arial"/>
        </w:rPr>
        <w:t xml:space="preserve">A tool for calculating emissions is available at National Atmospheric Emissions </w:t>
      </w:r>
      <w:proofErr w:type="gramStart"/>
      <w:r w:rsidRPr="006A6CE3">
        <w:rPr>
          <w:rFonts w:cs="Arial"/>
        </w:rPr>
        <w:t xml:space="preserve">Inventory  </w:t>
      </w:r>
      <w:proofErr w:type="gramEnd"/>
      <w:r w:rsidR="003935ED">
        <w:fldChar w:fldCharType="begin"/>
      </w:r>
      <w:r w:rsidR="003935ED">
        <w:instrText xml:space="preserve"> HYPERLINK "http://naei.defra.gov.uk/data_warehouse.php" </w:instrText>
      </w:r>
      <w:r w:rsidR="003935ED">
        <w:fldChar w:fldCharType="separate"/>
      </w:r>
      <w:r w:rsidRPr="006A6CE3">
        <w:rPr>
          <w:rStyle w:val="Hyperlink"/>
          <w:rFonts w:cs="Arial"/>
        </w:rPr>
        <w:t>http://naei.defra.gov.uk/data_warehouse.php</w:t>
      </w:r>
      <w:r w:rsidR="003935ED">
        <w:rPr>
          <w:rStyle w:val="Hyperlink"/>
          <w:rFonts w:cs="Arial"/>
        </w:rPr>
        <w:fldChar w:fldCharType="end"/>
      </w:r>
    </w:p>
    <w:p w:rsidR="00913351" w:rsidRPr="006A6CE3" w:rsidRDefault="00913351" w:rsidP="00873F77">
      <w:pPr>
        <w:rPr>
          <w:rFonts w:cs="Arial"/>
        </w:rPr>
      </w:pPr>
      <w:r w:rsidRPr="006A6CE3">
        <w:rPr>
          <w:rFonts w:cs="Arial"/>
        </w:rPr>
        <w:t>The most common emissions are:</w:t>
      </w:r>
    </w:p>
    <w:p w:rsidR="00913351" w:rsidRPr="006A6CE3" w:rsidRDefault="00913351" w:rsidP="00873F77">
      <w:pPr>
        <w:rPr>
          <w:rFonts w:cs="Arial"/>
        </w:rPr>
      </w:pPr>
      <w:r w:rsidRPr="006A6CE3">
        <w:rPr>
          <w:rFonts w:cs="Arial"/>
          <w:b/>
        </w:rPr>
        <w:t>1.2 Oxides of Nitrogen (NO</w:t>
      </w:r>
      <w:r w:rsidRPr="006A6CE3">
        <w:rPr>
          <w:rFonts w:cs="Arial"/>
          <w:b/>
          <w:vertAlign w:val="subscript"/>
        </w:rPr>
        <w:t>X</w:t>
      </w:r>
      <w:r w:rsidRPr="006A6CE3">
        <w:rPr>
          <w:rFonts w:cs="Arial"/>
          <w:b/>
        </w:rPr>
        <w:t>)</w:t>
      </w:r>
    </w:p>
    <w:p w:rsidR="00913351" w:rsidRPr="006A6CE3" w:rsidRDefault="00913351" w:rsidP="00873F77">
      <w:pPr>
        <w:rPr>
          <w:rFonts w:cs="Arial"/>
        </w:rPr>
      </w:pPr>
      <w:r w:rsidRPr="006A6CE3">
        <w:rPr>
          <w:rFonts w:cs="Arial"/>
        </w:rPr>
        <w:t>All combustion processes in air produce oxides of nitrogen (NO</w:t>
      </w:r>
      <w:r w:rsidRPr="006A6CE3">
        <w:rPr>
          <w:rFonts w:cs="Arial"/>
          <w:vertAlign w:val="subscript"/>
        </w:rPr>
        <w:t>X</w:t>
      </w:r>
      <w:r w:rsidRPr="006A6CE3">
        <w:rPr>
          <w:rFonts w:cs="Arial"/>
        </w:rPr>
        <w:t>). Nitrogen dioxide (NO</w:t>
      </w:r>
      <w:r w:rsidRPr="006A6CE3">
        <w:rPr>
          <w:rFonts w:cs="Arial"/>
          <w:vertAlign w:val="subscript"/>
        </w:rPr>
        <w:t>2</w:t>
      </w:r>
      <w:r w:rsidRPr="006A6CE3">
        <w:rPr>
          <w:rFonts w:cs="Arial"/>
        </w:rPr>
        <w:t>) and nitric oxide (NO) are both oxides of nitrogen and together are referred to as NO</w:t>
      </w:r>
      <w:r w:rsidRPr="006A6CE3">
        <w:rPr>
          <w:rFonts w:cs="Arial"/>
          <w:vertAlign w:val="subscript"/>
        </w:rPr>
        <w:t>X</w:t>
      </w:r>
      <w:r w:rsidRPr="006A6CE3">
        <w:rPr>
          <w:rFonts w:cs="Arial"/>
        </w:rPr>
        <w:t>. Road transport is the main source of NO</w:t>
      </w:r>
      <w:r w:rsidRPr="006A6CE3">
        <w:rPr>
          <w:rFonts w:cs="Arial"/>
          <w:vertAlign w:val="subscript"/>
        </w:rPr>
        <w:t>X</w:t>
      </w:r>
      <w:r w:rsidRPr="006A6CE3">
        <w:rPr>
          <w:rFonts w:cs="Arial"/>
        </w:rPr>
        <w:t xml:space="preserve"> and NO</w:t>
      </w:r>
      <w:r w:rsidRPr="006A6CE3">
        <w:rPr>
          <w:rFonts w:cs="Arial"/>
          <w:vertAlign w:val="subscript"/>
        </w:rPr>
        <w:t>2</w:t>
      </w:r>
      <w:r w:rsidRPr="006A6CE3">
        <w:rPr>
          <w:rFonts w:cs="Arial"/>
        </w:rPr>
        <w:t>, followed by the electricity supply industry and other industrial and commercial sectors.  Although large combustion plants are polluting, they tend to be located away from major centres of population, and for this reason road transport contributes far more to the public’s exposure to air pollutants. Deposition of pollutants derived from NO</w:t>
      </w:r>
      <w:r w:rsidRPr="006A6CE3">
        <w:rPr>
          <w:rFonts w:cs="Arial"/>
          <w:vertAlign w:val="subscript"/>
        </w:rPr>
        <w:t>X</w:t>
      </w:r>
      <w:r w:rsidRPr="006A6CE3">
        <w:rPr>
          <w:rFonts w:cs="Arial"/>
        </w:rPr>
        <w:t xml:space="preserve"> emissions contribute to acidification and eutrophication of sensitive habitats leading to loss of biodiversity.  NO</w:t>
      </w:r>
      <w:r w:rsidRPr="006A6CE3">
        <w:rPr>
          <w:rFonts w:cs="Arial"/>
          <w:vertAlign w:val="subscript"/>
        </w:rPr>
        <w:t>X</w:t>
      </w:r>
      <w:r w:rsidRPr="006A6CE3">
        <w:rPr>
          <w:rFonts w:cs="Arial"/>
        </w:rPr>
        <w:t xml:space="preserve"> also contributes to the formation of secondary particles and ground level ozone, both of which are associated with ill health effects. </w:t>
      </w:r>
    </w:p>
    <w:p w:rsidR="00913351" w:rsidRPr="006A6CE3" w:rsidRDefault="00913351" w:rsidP="00873F77">
      <w:pPr>
        <w:rPr>
          <w:rFonts w:cs="Arial"/>
        </w:rPr>
      </w:pPr>
      <w:r w:rsidRPr="006A6CE3">
        <w:rPr>
          <w:rFonts w:cs="Arial"/>
          <w:b/>
        </w:rPr>
        <w:t>1.3 Sulphur Oxides</w:t>
      </w:r>
    </w:p>
    <w:p w:rsidR="00913351" w:rsidRPr="006A6CE3" w:rsidRDefault="00913351" w:rsidP="00873F77">
      <w:pPr>
        <w:rPr>
          <w:rFonts w:cs="Arial"/>
          <w:b/>
          <w:szCs w:val="24"/>
        </w:rPr>
      </w:pPr>
      <w:r w:rsidRPr="006A6CE3">
        <w:rPr>
          <w:rFonts w:cs="Arial"/>
          <w:lang w:eastAsia="en-GB"/>
        </w:rPr>
        <w:t>Sulphur oxides (</w:t>
      </w:r>
      <w:proofErr w:type="spellStart"/>
      <w:r w:rsidRPr="006A6CE3">
        <w:rPr>
          <w:rFonts w:cs="Arial"/>
          <w:lang w:eastAsia="en-GB"/>
        </w:rPr>
        <w:t>SOx</w:t>
      </w:r>
      <w:proofErr w:type="spellEnd"/>
      <w:r w:rsidRPr="006A6CE3">
        <w:rPr>
          <w:rFonts w:cs="Arial"/>
          <w:lang w:eastAsia="en-GB"/>
        </w:rPr>
        <w:t>) are compounds of sulphur and oxygen molecules. Sulphur dioxide (SO</w:t>
      </w:r>
      <w:r w:rsidRPr="006A6CE3">
        <w:rPr>
          <w:rFonts w:cs="Arial"/>
          <w:vertAlign w:val="subscript"/>
          <w:lang w:eastAsia="en-GB"/>
        </w:rPr>
        <w:t>2</w:t>
      </w:r>
      <w:r w:rsidRPr="006A6CE3">
        <w:rPr>
          <w:rFonts w:cs="Arial"/>
          <w:lang w:eastAsia="en-GB"/>
        </w:rPr>
        <w:t xml:space="preserve">) is the predominant form found in the lower atmosphere. </w:t>
      </w:r>
      <w:r w:rsidRPr="006A6CE3">
        <w:rPr>
          <w:rFonts w:cs="Arial"/>
        </w:rPr>
        <w:t xml:space="preserve">Sulphur oxides in the atmosphere can influence the habitat suitability for plant communities as well as animal life. Sulphur oxide emissions are a precursor to acid rain and atmospheric particulates.  </w:t>
      </w:r>
      <w:r w:rsidRPr="006A6CE3">
        <w:rPr>
          <w:rFonts w:cs="Arial"/>
        </w:rPr>
        <w:lastRenderedPageBreak/>
        <w:t xml:space="preserve">The main sources of </w:t>
      </w:r>
      <w:r w:rsidRPr="006A6CE3">
        <w:rPr>
          <w:rFonts w:cs="Arial"/>
          <w:szCs w:val="24"/>
        </w:rPr>
        <w:t>sulphur oxides are emitted following the combustion of fossil fuels such as coal used in power generation, domestic and industrial purposes and certain types of vehicle ships, trains and those cars</w:t>
      </w:r>
      <w:r w:rsidR="00873F77" w:rsidRPr="006A6CE3">
        <w:rPr>
          <w:rFonts w:cs="Arial"/>
          <w:szCs w:val="24"/>
        </w:rPr>
        <w:t xml:space="preserve"> without catalytic convertors.</w:t>
      </w:r>
    </w:p>
    <w:p w:rsidR="00913351" w:rsidRPr="006A6CE3" w:rsidRDefault="00913351" w:rsidP="00873F77">
      <w:pPr>
        <w:rPr>
          <w:rFonts w:cs="Arial"/>
          <w:b/>
        </w:rPr>
      </w:pPr>
      <w:r w:rsidRPr="006A6CE3">
        <w:rPr>
          <w:rFonts w:cs="Arial"/>
          <w:b/>
        </w:rPr>
        <w:t>1.4 Particulate matter (PM)</w:t>
      </w:r>
    </w:p>
    <w:p w:rsidR="00913351" w:rsidRPr="006A6CE3" w:rsidRDefault="00913351" w:rsidP="00873F77">
      <w:pPr>
        <w:rPr>
          <w:rFonts w:cs="Arial"/>
        </w:rPr>
      </w:pPr>
      <w:r w:rsidRPr="006A6CE3">
        <w:rPr>
          <w:rFonts w:cs="Arial"/>
        </w:rPr>
        <w:t xml:space="preserve">Particulate Matter (PM) is made up of a wide range of materials and </w:t>
      </w:r>
      <w:proofErr w:type="gramStart"/>
      <w:r w:rsidRPr="006A6CE3">
        <w:rPr>
          <w:rFonts w:cs="Arial"/>
        </w:rPr>
        <w:t>arise</w:t>
      </w:r>
      <w:proofErr w:type="gramEnd"/>
      <w:r w:rsidRPr="006A6CE3">
        <w:rPr>
          <w:rFonts w:cs="Arial"/>
        </w:rPr>
        <w:t xml:space="preserve"> from a variety of sources. PM is generally categorised on the basis of the size of the particles (for example PM2.5 are particles with a diameter of less than 2.5μm which is very fine material that can penetrate deep into the lung).  PM derives from both human-made and natural sources (such as sea spray and soil dust). In the UK the biggest human-made sources of PM are stationary fuel combustion and transport. Road transport gives rise to primary particles from engine emissions, tyre and brake wear and other non-exhaust emissions. Other primary sources include quarrying, construction. Secondary PM is formed from emissions of ammonia, sulphur dioxide and oxides of nitrogen as well as from emissions of organic compounds from both combustion sources and vegetation. </w:t>
      </w:r>
    </w:p>
    <w:p w:rsidR="00913351" w:rsidRPr="006A6CE3" w:rsidRDefault="00913351" w:rsidP="00873F77">
      <w:pPr>
        <w:rPr>
          <w:rFonts w:cs="Arial"/>
          <w:b/>
        </w:rPr>
      </w:pPr>
      <w:r w:rsidRPr="006A6CE3">
        <w:rPr>
          <w:rFonts w:cs="Arial"/>
          <w:b/>
        </w:rPr>
        <w:t>1.5 Volatile Organic Compounds (VOCs)</w:t>
      </w:r>
    </w:p>
    <w:p w:rsidR="00913351" w:rsidRPr="006A6CE3" w:rsidRDefault="00913351" w:rsidP="00873F77">
      <w:pPr>
        <w:rPr>
          <w:rFonts w:cs="Arial"/>
        </w:rPr>
      </w:pPr>
      <w:r w:rsidRPr="006A6CE3">
        <w:rPr>
          <w:rFonts w:cs="Arial"/>
        </w:rPr>
        <w:t xml:space="preserve">VOCs are either emitted to air as gases from certain substances or as a by-product of fossil fuel combustion. </w:t>
      </w:r>
    </w:p>
    <w:p w:rsidR="00913351" w:rsidRPr="006A6CE3" w:rsidRDefault="00913351" w:rsidP="00873F77">
      <w:pPr>
        <w:rPr>
          <w:rFonts w:cs="Arial"/>
        </w:rPr>
      </w:pPr>
      <w:r w:rsidRPr="006A6CE3">
        <w:rPr>
          <w:rFonts w:cs="Arial"/>
        </w:rPr>
        <w:t xml:space="preserve">Volatile organic compounds (VOC) are a group of commonly used chemicals that evaporate when exposed to air. VOCs are able to act as a solvent, or carrier, for many substances and as such are widely used as cleaning and liquefying agents in fuels, degreasers, solvents, polishes, cosmetics, drugs, and dry cleaning solutions. Some common VOCs are trichloroethylene (TCE), </w:t>
      </w:r>
      <w:proofErr w:type="spellStart"/>
      <w:r w:rsidRPr="006A6CE3">
        <w:rPr>
          <w:rFonts w:cs="Arial"/>
        </w:rPr>
        <w:t>tetrachloroethylene</w:t>
      </w:r>
      <w:proofErr w:type="spellEnd"/>
      <w:r w:rsidRPr="006A6CE3">
        <w:rPr>
          <w:rFonts w:cs="Arial"/>
        </w:rPr>
        <w:t xml:space="preserve"> (a dry cleaning fluid), </w:t>
      </w:r>
      <w:proofErr w:type="spellStart"/>
      <w:r w:rsidRPr="006A6CE3">
        <w:rPr>
          <w:rFonts w:cs="Arial"/>
        </w:rPr>
        <w:t>trichloroethane</w:t>
      </w:r>
      <w:proofErr w:type="spellEnd"/>
      <w:r w:rsidRPr="006A6CE3">
        <w:rPr>
          <w:rFonts w:cs="Arial"/>
        </w:rPr>
        <w:t>, benzene, toluene, and xylenes. Industrial processes that emit VOCs include manufacturing, mining, textiles and paper production. VOCs also arise from fuel consumption. However, given the broad range of VOCs and their multitude of uses, it is not practical to give an exhaustive list of the processes that produce them.</w:t>
      </w:r>
    </w:p>
    <w:p w:rsidR="00913351" w:rsidRPr="006A6CE3" w:rsidRDefault="00913351" w:rsidP="00873F77">
      <w:pPr>
        <w:rPr>
          <w:rFonts w:cs="Arial"/>
          <w:b/>
        </w:rPr>
      </w:pPr>
      <w:r w:rsidRPr="006A6CE3">
        <w:rPr>
          <w:rFonts w:cs="Arial"/>
          <w:b/>
        </w:rPr>
        <w:t>1.6 Metal Emissions to Air</w:t>
      </w:r>
    </w:p>
    <w:p w:rsidR="00913351" w:rsidRPr="006A6CE3" w:rsidRDefault="00913351" w:rsidP="00873F77">
      <w:pPr>
        <w:rPr>
          <w:rFonts w:cs="Arial"/>
        </w:rPr>
      </w:pPr>
      <w:r w:rsidRPr="006A6CE3">
        <w:rPr>
          <w:rFonts w:cs="Arial"/>
        </w:rPr>
        <w:t xml:space="preserve">Metals that can have significant environmental impacts include lead, mercury, cadmium, arsenic and nickel. Certain metals that are in common usage are often emitted to air as particulates or dust. Metals emitted to air are eventually deposited on land or water and accumulate in soil, water, sediments and sludge, depending on the atmospheric conditions and type of metal. From here they can then accumulate in flora and fauna and, as they are often toxic, this can have a negative effect on the environment. The relative mobility of metals differs, and consequently their environmental effects can also be varied. For example, once lead has fixed into soil it takes a very long time to migrate out and can have long-term effects on soil quality. Mercury (and to a lesser extent cadmium) quickly leaches out of soil and into watercourses; once there it is rapidly taken up by fish and subsequently accumulates in the food chain. </w:t>
      </w:r>
    </w:p>
    <w:p w:rsidR="00913351" w:rsidRPr="006A6CE3" w:rsidRDefault="00913351" w:rsidP="00873F77">
      <w:pPr>
        <w:rPr>
          <w:rFonts w:cs="Arial"/>
        </w:rPr>
      </w:pPr>
      <w:r w:rsidRPr="006A6CE3">
        <w:rPr>
          <w:rFonts w:cs="Arial"/>
        </w:rPr>
        <w:lastRenderedPageBreak/>
        <w:t xml:space="preserve">Heavy metals can be emitted from the burning of coal or oil and are also emitted from a variety of industrial processes. Metal ore mining causes metal based dust formation, as do manufacturing processes that involve working with large amounts of metal (in particular foundries, auto-manufacturers and heavy manufacturing). Smaller amounts of metal will be emitted from light manufacturing (for example, electronics) and power generation will have high emission rates if the combustion of coal or oil is involved. </w:t>
      </w:r>
    </w:p>
    <w:p w:rsidR="00913351" w:rsidRPr="006A6CE3" w:rsidRDefault="00913351" w:rsidP="00873F77">
      <w:pPr>
        <w:rPr>
          <w:rFonts w:cs="Arial"/>
          <w:b/>
        </w:rPr>
      </w:pPr>
      <w:r w:rsidRPr="006A6CE3">
        <w:rPr>
          <w:rFonts w:cs="Arial"/>
          <w:b/>
        </w:rPr>
        <w:t>1.7 Metal Emissions to Land</w:t>
      </w:r>
    </w:p>
    <w:p w:rsidR="00913351" w:rsidRPr="006A6CE3" w:rsidRDefault="00913351" w:rsidP="00873F77">
      <w:pPr>
        <w:rPr>
          <w:rFonts w:cs="Arial"/>
        </w:rPr>
      </w:pPr>
      <w:r w:rsidRPr="006A6CE3">
        <w:rPr>
          <w:rFonts w:cs="Arial"/>
        </w:rPr>
        <w:t xml:space="preserve">Emissions of metals to land by industrial processes can have a serious impact on the local environment. All metals can have adverse effects on natural habitats depending on the amount emitted and the acceptable biological limit. In particular, metals such as mercury, cadmium, arsenic, chromium, copper, zinc and lead, can be highly toxic. </w:t>
      </w:r>
    </w:p>
    <w:p w:rsidR="00913351" w:rsidRPr="006A6CE3" w:rsidRDefault="00913351" w:rsidP="00873F77">
      <w:pPr>
        <w:rPr>
          <w:rFonts w:cs="Arial"/>
        </w:rPr>
      </w:pPr>
      <w:r w:rsidRPr="006A6CE3">
        <w:rPr>
          <w:rFonts w:cs="Arial"/>
        </w:rPr>
        <w:t xml:space="preserve">Metals are emitted directly to land by a number of industrial processes or by heavy metal leaching from mineral wastes at mining facilities. Metals can also be found in sewage sludge used as fertiliser. </w:t>
      </w:r>
    </w:p>
    <w:p w:rsidR="00913351" w:rsidRPr="006A6CE3" w:rsidRDefault="00913351" w:rsidP="00873F77">
      <w:pPr>
        <w:rPr>
          <w:rFonts w:cs="Arial"/>
        </w:rPr>
      </w:pPr>
      <w:r w:rsidRPr="006A6CE3">
        <w:rPr>
          <w:rFonts w:cs="Arial"/>
          <w:b/>
        </w:rPr>
        <w:t>1.8 Metal Emissions to Water</w:t>
      </w:r>
    </w:p>
    <w:p w:rsidR="00913351" w:rsidRPr="006A6CE3" w:rsidRDefault="00913351" w:rsidP="00873F77">
      <w:pPr>
        <w:rPr>
          <w:rFonts w:cs="Arial"/>
        </w:rPr>
      </w:pPr>
      <w:r w:rsidRPr="006A6CE3">
        <w:rPr>
          <w:rFonts w:cs="Arial"/>
        </w:rPr>
        <w:t>Metals and metal compounds can be found in effluent, drinking water, cooling water and run-off water. Metal emissions to water include: arsenic (As), cadmium (Cd), chromium (Cr), copper (Cu), mercury (Hg), nickel (Ni), lead (</w:t>
      </w:r>
      <w:proofErr w:type="spellStart"/>
      <w:r w:rsidRPr="006A6CE3">
        <w:rPr>
          <w:rFonts w:cs="Arial"/>
        </w:rPr>
        <w:t>Pb</w:t>
      </w:r>
      <w:proofErr w:type="spellEnd"/>
      <w:r w:rsidRPr="006A6CE3">
        <w:rPr>
          <w:rFonts w:cs="Arial"/>
        </w:rPr>
        <w:t>) and zinc (Zn). Other metals that are regularly detected in waters comprise antimony (</w:t>
      </w:r>
      <w:proofErr w:type="spellStart"/>
      <w:r w:rsidRPr="006A6CE3">
        <w:rPr>
          <w:rFonts w:cs="Arial"/>
        </w:rPr>
        <w:t>Sb</w:t>
      </w:r>
      <w:proofErr w:type="spellEnd"/>
      <w:r w:rsidRPr="006A6CE3">
        <w:rPr>
          <w:rFonts w:cs="Arial"/>
        </w:rPr>
        <w:t>), barium (Ba), beryllium (Be), boron (B), cobalt (Co), manganese (</w:t>
      </w:r>
      <w:proofErr w:type="spellStart"/>
      <w:r w:rsidRPr="006A6CE3">
        <w:rPr>
          <w:rFonts w:cs="Arial"/>
        </w:rPr>
        <w:t>Mn</w:t>
      </w:r>
      <w:proofErr w:type="spellEnd"/>
      <w:r w:rsidRPr="006A6CE3">
        <w:rPr>
          <w:rFonts w:cs="Arial"/>
        </w:rPr>
        <w:t xml:space="preserve">), selenium (Se), silver (Ag) and vanadium (V). </w:t>
      </w:r>
    </w:p>
    <w:p w:rsidR="00913351" w:rsidRPr="006A6CE3" w:rsidRDefault="00913351" w:rsidP="00873F77">
      <w:pPr>
        <w:rPr>
          <w:rFonts w:cs="Arial"/>
        </w:rPr>
      </w:pPr>
      <w:r w:rsidRPr="006A6CE3">
        <w:rPr>
          <w:rFonts w:cs="Arial"/>
        </w:rPr>
        <w:t xml:space="preserve">Metal can affect the </w:t>
      </w:r>
      <w:r w:rsidRPr="006A6CE3">
        <w:rPr>
          <w:rFonts w:cs="Arial"/>
          <w:color w:val="000000"/>
        </w:rPr>
        <w:t xml:space="preserve">aquatic environment in a number of different ways, and for some </w:t>
      </w:r>
      <w:r w:rsidRPr="006A6CE3">
        <w:rPr>
          <w:rFonts w:cs="Arial"/>
        </w:rPr>
        <w:t xml:space="preserve">metals their concentration can increase in the food chain at each trophic level, a process called biological magnification. </w:t>
      </w:r>
    </w:p>
    <w:p w:rsidR="00913351" w:rsidRPr="006A6CE3" w:rsidRDefault="00913351" w:rsidP="00873F77">
      <w:pPr>
        <w:rPr>
          <w:rFonts w:cs="Arial"/>
        </w:rPr>
      </w:pPr>
      <w:r w:rsidRPr="006A6CE3">
        <w:rPr>
          <w:rFonts w:cs="Arial"/>
        </w:rPr>
        <w:t>Many sectors can cause metal emissions, by a variety of different processes.</w:t>
      </w:r>
    </w:p>
    <w:p w:rsidR="00913351" w:rsidRPr="006A6CE3" w:rsidRDefault="00913351" w:rsidP="00873F77">
      <w:pPr>
        <w:rPr>
          <w:rFonts w:cs="Arial"/>
          <w:b/>
        </w:rPr>
      </w:pPr>
      <w:r w:rsidRPr="006A6CE3">
        <w:rPr>
          <w:rFonts w:cs="Arial"/>
          <w:b/>
        </w:rPr>
        <w:t>1.9 Acid and Organic Chemicals</w:t>
      </w:r>
    </w:p>
    <w:p w:rsidR="00913351" w:rsidRPr="006A6CE3" w:rsidRDefault="00913351" w:rsidP="00873F77">
      <w:pPr>
        <w:rPr>
          <w:rFonts w:cs="Arial"/>
        </w:rPr>
      </w:pPr>
      <w:r w:rsidRPr="006A6CE3">
        <w:rPr>
          <w:rFonts w:cs="Arial"/>
        </w:rPr>
        <w:t xml:space="preserve">There is the potential for a wide range of organic chemicals to be emitted into the environment – for example, long chain hydrocarbons (from oil, </w:t>
      </w:r>
      <w:proofErr w:type="spellStart"/>
      <w:r w:rsidRPr="006A6CE3">
        <w:rPr>
          <w:rFonts w:cs="Arial"/>
        </w:rPr>
        <w:t>etc</w:t>
      </w:r>
      <w:proofErr w:type="spellEnd"/>
      <w:r w:rsidRPr="006A6CE3">
        <w:rPr>
          <w:rFonts w:cs="Arial"/>
        </w:rPr>
        <w:t>) and organic chemicals from industrial processes (e.g. solvents such as formaldehyde and alcohols). Organic and inorganic acids are also used in many industrial processes. These emissions are usually caused by accidental spillage. Any process using either oil based fuels or lubricants can give rise to these emissions, as can accidental spillages. Similarly any process using large amounts of industrial acids or organic chemicals may also give rise to this impact.</w:t>
      </w:r>
    </w:p>
    <w:p w:rsidR="00913351" w:rsidRPr="006A6CE3" w:rsidRDefault="00913351" w:rsidP="00E17374">
      <w:pPr>
        <w:numPr>
          <w:ilvl w:val="0"/>
          <w:numId w:val="66"/>
        </w:numPr>
        <w:rPr>
          <w:rFonts w:cs="Arial"/>
          <w:b/>
        </w:rPr>
      </w:pPr>
      <w:r w:rsidRPr="006A6CE3">
        <w:rPr>
          <w:rFonts w:cs="Arial"/>
          <w:b/>
        </w:rPr>
        <w:t>Nutrients and Organic Pollutants</w:t>
      </w:r>
    </w:p>
    <w:p w:rsidR="00913351" w:rsidRPr="006A6CE3" w:rsidRDefault="00913351" w:rsidP="00873F77">
      <w:pPr>
        <w:rPr>
          <w:rFonts w:cs="Arial"/>
        </w:rPr>
      </w:pPr>
      <w:r w:rsidRPr="006A6CE3">
        <w:rPr>
          <w:rFonts w:cs="Arial"/>
        </w:rPr>
        <w:t xml:space="preserve">Many sectors are responsible for emitting organic pollutants to water including farming, water treatment, textile production, the paper industry and chemical industry. Pollutants </w:t>
      </w:r>
      <w:r w:rsidRPr="006A6CE3">
        <w:rPr>
          <w:rFonts w:cs="Arial"/>
        </w:rPr>
        <w:lastRenderedPageBreak/>
        <w:t xml:space="preserve">also reach water from the run-off from roads and highways. Sources of nutrients commonly include human sewage, crops and animal production, food processing, pulp and paper manufacturing, detergent manufacturing and fertiliser manufacturing. Organic pollutants can be found in wastewater treatment, drinking water, and boiler feed water, cooling water, and storm water. </w:t>
      </w:r>
    </w:p>
    <w:p w:rsidR="00913351" w:rsidRPr="006A6CE3" w:rsidRDefault="00913351" w:rsidP="00873F77">
      <w:pPr>
        <w:rPr>
          <w:rFonts w:cs="Arial"/>
        </w:rPr>
      </w:pPr>
      <w:r w:rsidRPr="006A6CE3">
        <w:rPr>
          <w:rFonts w:cs="Arial"/>
        </w:rPr>
        <w:t>Organic matter is commonly found in groundwater and inland waters, and can cause pollution and disruption to aquatic habitats. Discharges of organic waste (nutrients) into bodies of water can cause eutrophication in rivers, lakes, estuaries, coastal and marine waters.  Sources of nutrients commonly include human sewage, crops and animal production, food processing, pulp and paper manufacturing, detergents manufacturing and fertiliser manufacturing. Organic contaminants can lead to the death of animals and fish as well as changes in appearance, reproductive patterns or behaviour in fish. Organic pollutants can be found in influent and effluent of wastewater treatment, boiler feed water, cooling water, and storm water.</w:t>
      </w:r>
    </w:p>
    <w:p w:rsidR="00913351" w:rsidRPr="006A6CE3" w:rsidRDefault="00913351" w:rsidP="00873F77">
      <w:pPr>
        <w:rPr>
          <w:rFonts w:cs="Arial"/>
        </w:rPr>
      </w:pPr>
      <w:r w:rsidRPr="006A6CE3">
        <w:rPr>
          <w:rFonts w:cs="Arial"/>
        </w:rPr>
        <w:t xml:space="preserve">While nutrients have an indirect effect on oxygen levels, oxygen-demanding pollutants have a direct effect. They are contained in organic effluents such as sewage discharges and discharges from the industrial sectors (food and drink). Organic effluent includes contaminants such as polychlorinated biphenyls (PCBs), polycyclic aromatic hydrocarbons (PAHs), </w:t>
      </w:r>
      <w:proofErr w:type="spellStart"/>
      <w:r w:rsidRPr="006A6CE3">
        <w:rPr>
          <w:rFonts w:cs="Arial"/>
        </w:rPr>
        <w:t>hexachlorocyclohexanes</w:t>
      </w:r>
      <w:proofErr w:type="spellEnd"/>
      <w:r w:rsidRPr="006A6CE3">
        <w:rPr>
          <w:rFonts w:cs="Arial"/>
        </w:rPr>
        <w:t xml:space="preserve"> (HCH), benzene, toluene, xylenes, </w:t>
      </w:r>
      <w:proofErr w:type="spellStart"/>
      <w:r w:rsidRPr="006A6CE3">
        <w:rPr>
          <w:rFonts w:cs="Arial"/>
        </w:rPr>
        <w:t>ethylbenzene</w:t>
      </w:r>
      <w:proofErr w:type="spellEnd"/>
      <w:r w:rsidRPr="006A6CE3">
        <w:rPr>
          <w:rFonts w:cs="Arial"/>
        </w:rPr>
        <w:t>, dioxins and phenols, as well as general brewing waste and sewage. Oil spills can also contribute to organic pollutants.</w:t>
      </w:r>
    </w:p>
    <w:p w:rsidR="00913351" w:rsidRPr="006A6CE3" w:rsidRDefault="00873F77" w:rsidP="0086258B">
      <w:pPr>
        <w:numPr>
          <w:ilvl w:val="0"/>
          <w:numId w:val="66"/>
        </w:numPr>
        <w:spacing w:before="120" w:after="240"/>
        <w:rPr>
          <w:rFonts w:cs="Arial"/>
          <w:b/>
        </w:rPr>
      </w:pPr>
      <w:r w:rsidRPr="006A6CE3">
        <w:rPr>
          <w:rFonts w:cs="Arial"/>
          <w:b/>
        </w:rPr>
        <w:t>Issues to consider</w:t>
      </w:r>
      <w:r w:rsidR="00913351" w:rsidRPr="006A6CE3">
        <w:rPr>
          <w:rFonts w:cs="Arial"/>
          <w:b/>
        </w:rPr>
        <w:t xml:space="preserve"> and Legislation </w:t>
      </w:r>
    </w:p>
    <w:p w:rsidR="00913351" w:rsidRPr="006A6CE3" w:rsidRDefault="00913351" w:rsidP="00E204D9">
      <w:pPr>
        <w:rPr>
          <w:rFonts w:cs="Arial"/>
        </w:rPr>
      </w:pPr>
      <w:r w:rsidRPr="006A6CE3">
        <w:rPr>
          <w:rFonts w:cs="Arial"/>
        </w:rPr>
        <w:t>The</w:t>
      </w:r>
      <w:r w:rsidRPr="006A6CE3">
        <w:rPr>
          <w:rStyle w:val="Strong"/>
          <w:rFonts w:cs="Arial"/>
          <w:bCs w:val="0"/>
        </w:rPr>
        <w:t xml:space="preserve"> European Pollutant Release and Transfer Register (E-PRTR) Regulation</w:t>
      </w:r>
      <w:r w:rsidRPr="006A6CE3">
        <w:rPr>
          <w:rFonts w:cs="Arial"/>
        </w:rPr>
        <w:t xml:space="preserve"> applies directly to operators within 9 industrial sectors – covering approximately 65 economic activities:</w:t>
      </w:r>
    </w:p>
    <w:p w:rsidR="00913351" w:rsidRPr="006A6CE3" w:rsidRDefault="00913351" w:rsidP="0086258B">
      <w:pPr>
        <w:numPr>
          <w:ilvl w:val="0"/>
          <w:numId w:val="18"/>
        </w:numPr>
        <w:spacing w:before="0" w:after="200"/>
        <w:rPr>
          <w:rFonts w:cs="Arial"/>
        </w:rPr>
      </w:pPr>
      <w:r w:rsidRPr="006A6CE3">
        <w:rPr>
          <w:rFonts w:cs="Arial"/>
        </w:rPr>
        <w:t>Energy</w:t>
      </w:r>
    </w:p>
    <w:p w:rsidR="00913351" w:rsidRPr="006A6CE3" w:rsidRDefault="00913351" w:rsidP="0086258B">
      <w:pPr>
        <w:numPr>
          <w:ilvl w:val="0"/>
          <w:numId w:val="18"/>
        </w:numPr>
        <w:spacing w:before="0" w:after="200"/>
        <w:rPr>
          <w:rFonts w:cs="Arial"/>
        </w:rPr>
      </w:pPr>
      <w:r w:rsidRPr="006A6CE3">
        <w:rPr>
          <w:rFonts w:cs="Arial"/>
        </w:rPr>
        <w:t>Production and processing of metals</w:t>
      </w:r>
    </w:p>
    <w:p w:rsidR="00913351" w:rsidRPr="006A6CE3" w:rsidRDefault="00913351" w:rsidP="0086258B">
      <w:pPr>
        <w:numPr>
          <w:ilvl w:val="0"/>
          <w:numId w:val="18"/>
        </w:numPr>
        <w:spacing w:before="0" w:after="200"/>
        <w:rPr>
          <w:rFonts w:cs="Arial"/>
        </w:rPr>
      </w:pPr>
      <w:r w:rsidRPr="006A6CE3">
        <w:rPr>
          <w:rFonts w:cs="Arial"/>
        </w:rPr>
        <w:t>Mineral industry</w:t>
      </w:r>
    </w:p>
    <w:p w:rsidR="00913351" w:rsidRPr="006A6CE3" w:rsidRDefault="00913351" w:rsidP="0086258B">
      <w:pPr>
        <w:numPr>
          <w:ilvl w:val="0"/>
          <w:numId w:val="18"/>
        </w:numPr>
        <w:spacing w:before="0" w:after="200"/>
        <w:rPr>
          <w:rFonts w:cs="Arial"/>
        </w:rPr>
      </w:pPr>
      <w:r w:rsidRPr="006A6CE3">
        <w:rPr>
          <w:rFonts w:cs="Arial"/>
        </w:rPr>
        <w:t>Chemical industry</w:t>
      </w:r>
    </w:p>
    <w:p w:rsidR="00913351" w:rsidRPr="006A6CE3" w:rsidRDefault="00913351" w:rsidP="0086258B">
      <w:pPr>
        <w:numPr>
          <w:ilvl w:val="0"/>
          <w:numId w:val="18"/>
        </w:numPr>
        <w:spacing w:before="0" w:after="200"/>
        <w:rPr>
          <w:rFonts w:cs="Arial"/>
        </w:rPr>
      </w:pPr>
      <w:r w:rsidRPr="006A6CE3">
        <w:rPr>
          <w:rFonts w:cs="Arial"/>
        </w:rPr>
        <w:t>Waste and waste water management</w:t>
      </w:r>
    </w:p>
    <w:p w:rsidR="00913351" w:rsidRPr="006A6CE3" w:rsidRDefault="00913351" w:rsidP="0086258B">
      <w:pPr>
        <w:numPr>
          <w:ilvl w:val="0"/>
          <w:numId w:val="18"/>
        </w:numPr>
        <w:spacing w:before="0" w:after="200"/>
        <w:rPr>
          <w:rFonts w:cs="Arial"/>
        </w:rPr>
      </w:pPr>
      <w:r w:rsidRPr="006A6CE3">
        <w:rPr>
          <w:rFonts w:cs="Arial"/>
        </w:rPr>
        <w:t>Paper and wood production and processing</w:t>
      </w:r>
    </w:p>
    <w:p w:rsidR="00913351" w:rsidRPr="006A6CE3" w:rsidRDefault="00913351" w:rsidP="0086258B">
      <w:pPr>
        <w:numPr>
          <w:ilvl w:val="0"/>
          <w:numId w:val="18"/>
        </w:numPr>
        <w:spacing w:before="0" w:after="200"/>
        <w:rPr>
          <w:rFonts w:cs="Arial"/>
        </w:rPr>
      </w:pPr>
      <w:r w:rsidRPr="006A6CE3">
        <w:rPr>
          <w:rFonts w:cs="Arial"/>
        </w:rPr>
        <w:t>Intensive livestock production and aquaculture</w:t>
      </w:r>
    </w:p>
    <w:p w:rsidR="00913351" w:rsidRPr="006A6CE3" w:rsidRDefault="00913351" w:rsidP="0086258B">
      <w:pPr>
        <w:numPr>
          <w:ilvl w:val="0"/>
          <w:numId w:val="18"/>
        </w:numPr>
        <w:spacing w:before="0" w:after="200"/>
        <w:rPr>
          <w:rFonts w:cs="Arial"/>
        </w:rPr>
      </w:pPr>
      <w:r w:rsidRPr="006A6CE3">
        <w:rPr>
          <w:rFonts w:cs="Arial"/>
        </w:rPr>
        <w:t>Animal and vegetable products from the food and beverage sector</w:t>
      </w:r>
    </w:p>
    <w:p w:rsidR="00913351" w:rsidRPr="006A6CE3" w:rsidRDefault="00913351" w:rsidP="0086258B">
      <w:pPr>
        <w:numPr>
          <w:ilvl w:val="0"/>
          <w:numId w:val="18"/>
        </w:numPr>
        <w:spacing w:before="0" w:after="200"/>
        <w:rPr>
          <w:rFonts w:cs="Arial"/>
        </w:rPr>
      </w:pPr>
      <w:r w:rsidRPr="006A6CE3">
        <w:rPr>
          <w:rFonts w:cs="Arial"/>
        </w:rPr>
        <w:t>Other activities</w:t>
      </w:r>
    </w:p>
    <w:p w:rsidR="00913351" w:rsidRPr="006A6CE3" w:rsidRDefault="00913351" w:rsidP="00873F77">
      <w:pPr>
        <w:rPr>
          <w:rFonts w:cs="Arial"/>
        </w:rPr>
      </w:pPr>
      <w:r w:rsidRPr="006A6CE3">
        <w:rPr>
          <w:rFonts w:cs="Arial"/>
        </w:rPr>
        <w:lastRenderedPageBreak/>
        <w:t>The Regulation requires operators to report annually emissions of any of the 91 substances listed in the Regulation which is emitted in quantities above the threshold for that substance. The objective of the E-PRTR is "to enhance public access to information through the establishment of coherent, nationwide pollutant release and transfer registers (PRTRs)”.</w:t>
      </w:r>
    </w:p>
    <w:p w:rsidR="00913351" w:rsidRPr="006A6CE3" w:rsidRDefault="00913351" w:rsidP="0086258B">
      <w:pPr>
        <w:numPr>
          <w:ilvl w:val="0"/>
          <w:numId w:val="66"/>
        </w:numPr>
        <w:spacing w:before="0" w:after="200" w:line="240" w:lineRule="auto"/>
        <w:rPr>
          <w:rFonts w:cs="Arial"/>
        </w:rPr>
      </w:pPr>
      <w:r w:rsidRPr="006A6CE3">
        <w:rPr>
          <w:rFonts w:cs="Arial"/>
          <w:b/>
        </w:rPr>
        <w:t xml:space="preserve">Industrial Emissions Directive </w:t>
      </w:r>
    </w:p>
    <w:p w:rsidR="00913351" w:rsidRPr="006A6CE3" w:rsidRDefault="00C81B03" w:rsidP="00873F77">
      <w:pPr>
        <w:rPr>
          <w:rFonts w:cs="Arial"/>
        </w:rPr>
      </w:pPr>
      <w:r>
        <w:rPr>
          <w:rFonts w:cs="Arial"/>
        </w:rPr>
        <w:t>The Industrial Emissions Directive</w:t>
      </w:r>
      <w:r w:rsidR="00913351" w:rsidRPr="006A6CE3">
        <w:rPr>
          <w:rFonts w:cs="Arial"/>
        </w:rPr>
        <w:t xml:space="preserve"> recast seven existing Directives, related to industrial emissions, including the Large Combustion Plant Directive and the Integrated Pollution Prevention and Control (IPPC) Directive, into a single Directive. Much of the component Directives remain</w:t>
      </w:r>
      <w:r>
        <w:rPr>
          <w:rFonts w:cs="Arial"/>
        </w:rPr>
        <w:t>s</w:t>
      </w:r>
      <w:r w:rsidR="00913351" w:rsidRPr="006A6CE3">
        <w:rPr>
          <w:rFonts w:cs="Arial"/>
        </w:rPr>
        <w:t xml:space="preserve"> substantively unchanged or ha</w:t>
      </w:r>
      <w:r>
        <w:rPr>
          <w:rFonts w:cs="Arial"/>
        </w:rPr>
        <w:t>s</w:t>
      </w:r>
      <w:r w:rsidR="00913351" w:rsidRPr="006A6CE3">
        <w:rPr>
          <w:rFonts w:cs="Arial"/>
        </w:rPr>
        <w:t xml:space="preserve"> been clarified, but a few new activities are subjected to IPPC, notably wood preservation and some waste recovery activities, and minimum requirements in respect of emissions from existing large combustion plants are significantly tightened from 2016.</w:t>
      </w:r>
    </w:p>
    <w:p w:rsidR="00913351" w:rsidRPr="006A6CE3" w:rsidRDefault="00913351" w:rsidP="00873F77">
      <w:pPr>
        <w:rPr>
          <w:rFonts w:cs="Arial"/>
          <w:lang w:eastAsia="en-GB"/>
        </w:rPr>
      </w:pPr>
      <w:r w:rsidRPr="006A6CE3">
        <w:rPr>
          <w:rFonts w:cs="Arial"/>
        </w:rPr>
        <w:t>D</w:t>
      </w:r>
      <w:r w:rsidRPr="006A6CE3">
        <w:rPr>
          <w:rFonts w:cs="Arial"/>
          <w:lang w:eastAsia="en-GB"/>
        </w:rPr>
        <w:t xml:space="preserve">etails of the industries and activities that will be subject to the provisions of the IED can be found here: </w:t>
      </w:r>
      <w:hyperlink r:id="rId101" w:history="1">
        <w:r w:rsidRPr="006A6CE3">
          <w:rPr>
            <w:rStyle w:val="Hyperlink"/>
            <w:rFonts w:cs="Arial"/>
            <w:lang w:eastAsia="en-GB"/>
          </w:rPr>
          <w:t>http://www.defra.gov.uk/environment/quality/industrial/eu-international/industrial-emissions-directive/</w:t>
        </w:r>
      </w:hyperlink>
    </w:p>
    <w:p w:rsidR="00913351" w:rsidRPr="006A6CE3" w:rsidRDefault="00913351" w:rsidP="00873F77">
      <w:pPr>
        <w:rPr>
          <w:rFonts w:cs="Arial"/>
        </w:rPr>
      </w:pPr>
      <w:r w:rsidRPr="006A6CE3">
        <w:rPr>
          <w:rFonts w:cs="Arial"/>
        </w:rPr>
        <w:t xml:space="preserve">Further detail on E-PRTR can be found here: </w:t>
      </w:r>
      <w:hyperlink r:id="rId102" w:history="1">
        <w:r w:rsidRPr="006A6CE3">
          <w:rPr>
            <w:rStyle w:val="Hyperlink"/>
            <w:rFonts w:cs="Arial"/>
          </w:rPr>
          <w:t>http://prtr.defra.gov.uk/</w:t>
        </w:r>
      </w:hyperlink>
    </w:p>
    <w:p w:rsidR="00913351" w:rsidRPr="006A6CE3" w:rsidRDefault="00873F77" w:rsidP="00873F77">
      <w:pPr>
        <w:rPr>
          <w:rFonts w:cs="Arial"/>
        </w:rPr>
      </w:pPr>
      <w:r w:rsidRPr="006A6CE3">
        <w:rPr>
          <w:rFonts w:cs="Arial"/>
        </w:rPr>
        <w:t>A</w:t>
      </w:r>
      <w:r w:rsidR="00913351" w:rsidRPr="006A6CE3">
        <w:rPr>
          <w:rFonts w:cs="Arial"/>
        </w:rPr>
        <w:t>nd</w:t>
      </w:r>
      <w:r w:rsidRPr="006A6CE3">
        <w:rPr>
          <w:rFonts w:cs="Arial"/>
        </w:rPr>
        <w:t xml:space="preserve"> here:</w:t>
      </w:r>
    </w:p>
    <w:p w:rsidR="00873F77" w:rsidRPr="006A6CE3" w:rsidRDefault="00C93591" w:rsidP="00E204D9">
      <w:pPr>
        <w:rPr>
          <w:rFonts w:cs="Arial"/>
        </w:rPr>
      </w:pPr>
      <w:hyperlink r:id="rId103" w:history="1">
        <w:r w:rsidR="00A81560" w:rsidRPr="002D679C">
          <w:rPr>
            <w:rStyle w:val="Hyperlink"/>
            <w:rFonts w:cs="Arial"/>
          </w:rPr>
          <w:t>http://www.environment-agency.gov.uk/static/documents/Business/eprtr_guidance_doc_1426519.pdf</w:t>
        </w:r>
      </w:hyperlink>
      <w:r w:rsidR="00A81560">
        <w:rPr>
          <w:rFonts w:cs="Arial"/>
        </w:rPr>
        <w:t xml:space="preserve"> </w:t>
      </w:r>
    </w:p>
    <w:p w:rsidR="00913351" w:rsidRPr="006A6CE3" w:rsidRDefault="00913351" w:rsidP="0086258B">
      <w:pPr>
        <w:numPr>
          <w:ilvl w:val="0"/>
          <w:numId w:val="66"/>
        </w:numPr>
        <w:rPr>
          <w:rFonts w:cs="Arial"/>
          <w:b/>
        </w:rPr>
      </w:pPr>
      <w:r w:rsidRPr="006A6CE3">
        <w:rPr>
          <w:rFonts w:cs="Arial"/>
          <w:b/>
        </w:rPr>
        <w:t>Off Shore Chemical Notification Scheme</w:t>
      </w:r>
    </w:p>
    <w:p w:rsidR="00913351" w:rsidRPr="006A6CE3" w:rsidRDefault="00913351" w:rsidP="00873F77">
      <w:pPr>
        <w:rPr>
          <w:rFonts w:cs="Arial"/>
        </w:rPr>
      </w:pPr>
      <w:r w:rsidRPr="006A6CE3">
        <w:rPr>
          <w:rFonts w:cs="Arial"/>
        </w:rPr>
        <w:t xml:space="preserve">The use and discharge of hazardous substances in the offshore oil and gas industry have been identified as a cause for concern. To reduce the overall impact of offshore chemicals on the marine environment, OSPAR has adopted a </w:t>
      </w:r>
      <w:hyperlink r:id="rId104" w:tgtFrame="_blank" w:history="1">
        <w:r w:rsidRPr="006A6CE3">
          <w:rPr>
            <w:rStyle w:val="Hyperlink"/>
            <w:rFonts w:cs="Arial"/>
            <w:color w:val="1E09B7"/>
          </w:rPr>
          <w:t>harmonised mandatory control system</w:t>
        </w:r>
      </w:hyperlink>
      <w:r w:rsidRPr="006A6CE3">
        <w:rPr>
          <w:rStyle w:val="FootnoteReference"/>
          <w:rFonts w:cs="Arial"/>
          <w:color w:val="0070C0"/>
        </w:rPr>
        <w:footnoteReference w:id="126"/>
      </w:r>
      <w:r w:rsidRPr="006A6CE3">
        <w:rPr>
          <w:rFonts w:cs="Arial"/>
        </w:rPr>
        <w:t xml:space="preserve"> for use and reduction of discharges of offshore chemicals. This system promotes the shift towards the use of less hazardous or preferably non-hazardous substances. There is a common OSPAR interpretation of which </w:t>
      </w:r>
      <w:hyperlink r:id="rId105" w:tgtFrame="_blank" w:history="1">
        <w:r w:rsidRPr="006A6CE3">
          <w:rPr>
            <w:rStyle w:val="Hyperlink"/>
            <w:rFonts w:cs="Arial"/>
            <w:color w:val="1E09B7"/>
          </w:rPr>
          <w:t>chemicals are covered and not covered</w:t>
        </w:r>
      </w:hyperlink>
      <w:r w:rsidRPr="006A6CE3">
        <w:rPr>
          <w:rStyle w:val="FootnoteReference"/>
          <w:rFonts w:cs="Arial"/>
          <w:color w:val="0070C0"/>
        </w:rPr>
        <w:footnoteReference w:id="127"/>
      </w:r>
      <w:r w:rsidRPr="006A6CE3">
        <w:rPr>
          <w:rFonts w:cs="Arial"/>
        </w:rPr>
        <w:t xml:space="preserve"> by the control system. The Offshore Chemical Notification Scheme </w:t>
      </w:r>
      <w:hyperlink r:id="rId106" w:history="1">
        <w:r w:rsidRPr="006A6CE3">
          <w:rPr>
            <w:rStyle w:val="Hyperlink"/>
            <w:rFonts w:cs="Arial"/>
          </w:rPr>
          <w:t>(OCNS)</w:t>
        </w:r>
      </w:hyperlink>
      <w:r w:rsidRPr="006A6CE3">
        <w:rPr>
          <w:rStyle w:val="FootnoteReference"/>
          <w:rFonts w:cs="Arial"/>
        </w:rPr>
        <w:footnoteReference w:id="128"/>
      </w:r>
      <w:r w:rsidRPr="006A6CE3">
        <w:rPr>
          <w:rFonts w:cs="Arial"/>
        </w:rPr>
        <w:t xml:space="preserve"> manages chemical use and discharge by the UK offshore petroleum industries. The scheme is regulated in the UK by the Department of Energy and Climate Change using scientific and environmental advice from </w:t>
      </w:r>
      <w:proofErr w:type="spellStart"/>
      <w:r w:rsidRPr="006A6CE3">
        <w:rPr>
          <w:rFonts w:cs="Arial"/>
        </w:rPr>
        <w:t>Cefas</w:t>
      </w:r>
      <w:proofErr w:type="spellEnd"/>
      <w:r w:rsidRPr="006A6CE3">
        <w:rPr>
          <w:rFonts w:cs="Arial"/>
        </w:rPr>
        <w:t xml:space="preserve"> and Marine Scotland. If you operate in this sector and use chemicals that are covered by OSPAR you should report using your </w:t>
      </w:r>
      <w:r w:rsidRPr="006A6CE3">
        <w:rPr>
          <w:rFonts w:cs="Arial"/>
        </w:rPr>
        <w:lastRenderedPageBreak/>
        <w:t>OCNS data/returns and discuss within your organisation plans for substitution where feasible to move to safer alternatives.</w:t>
      </w:r>
    </w:p>
    <w:p w:rsidR="00913351" w:rsidRPr="006A6CE3" w:rsidRDefault="00913351" w:rsidP="00873F77">
      <w:pPr>
        <w:rPr>
          <w:rFonts w:cs="Arial"/>
          <w:szCs w:val="24"/>
        </w:rPr>
      </w:pPr>
      <w:r w:rsidRPr="006A6CE3">
        <w:rPr>
          <w:rFonts w:cs="Arial"/>
        </w:rPr>
        <w:t xml:space="preserve">The </w:t>
      </w:r>
      <w:hyperlink r:id="rId107" w:history="1">
        <w:r w:rsidRPr="006A6CE3">
          <w:rPr>
            <w:rStyle w:val="Hyperlink"/>
            <w:rFonts w:cs="Arial"/>
          </w:rPr>
          <w:t>EP Regulations 2010</w:t>
        </w:r>
      </w:hyperlink>
      <w:r w:rsidRPr="006A6CE3">
        <w:rPr>
          <w:rFonts w:cs="Arial"/>
        </w:rPr>
        <w:t>  covering England and Wales provide industry, regulators and others with a single extended permitting and compliance system and includes those systems for discharge consenting, groundwater authorisations and radioactive substances regulation. Environmental Permitting also provides a tool for delivering the permitting and compliance requirements of EU directives such as those relating to the Batteries Directive and Mining Waste Directive.</w:t>
      </w:r>
    </w:p>
    <w:p w:rsidR="00913351" w:rsidRDefault="00913351" w:rsidP="00873F77">
      <w:pPr>
        <w:rPr>
          <w:rFonts w:cs="Arial"/>
        </w:rPr>
      </w:pPr>
      <w:r w:rsidRPr="006A6CE3">
        <w:rPr>
          <w:rFonts w:cs="Arial"/>
        </w:rPr>
        <w:t>More information on emissions to air is available at Defra website at:</w:t>
      </w:r>
    </w:p>
    <w:p w:rsidR="00A81560" w:rsidRPr="006A6CE3" w:rsidRDefault="00C93591" w:rsidP="00873F77">
      <w:pPr>
        <w:rPr>
          <w:rFonts w:cs="Arial"/>
        </w:rPr>
      </w:pPr>
      <w:hyperlink r:id="rId108" w:history="1">
        <w:r w:rsidR="00A81560" w:rsidRPr="002D679C">
          <w:rPr>
            <w:rStyle w:val="Hyperlink"/>
            <w:rFonts w:cs="Arial"/>
          </w:rPr>
          <w:t>https://www.gov.uk/government/policies/protecting-and-enhancing-our-urban-and-natural-environment-to-improve-public-health-and-wellbeing/supporting-pages/international-european-and-national-standards-for-air-quality</w:t>
        </w:r>
      </w:hyperlink>
      <w:r w:rsidR="00A81560">
        <w:rPr>
          <w:rFonts w:cs="Arial"/>
        </w:rPr>
        <w:t xml:space="preserve"> </w:t>
      </w:r>
    </w:p>
    <w:p w:rsidR="00913351" w:rsidRPr="006A6CE3" w:rsidRDefault="00913351" w:rsidP="00873F77">
      <w:pPr>
        <w:rPr>
          <w:rFonts w:cs="Arial"/>
        </w:rPr>
      </w:pPr>
      <w:r w:rsidRPr="006A6CE3">
        <w:rPr>
          <w:rFonts w:cs="Arial"/>
        </w:rPr>
        <w:t>Information about air quality laws and regulations for industry are available at Environment Agency</w:t>
      </w:r>
    </w:p>
    <w:p w:rsidR="00913351" w:rsidRPr="006A6CE3" w:rsidRDefault="00C93591" w:rsidP="00873F77">
      <w:pPr>
        <w:rPr>
          <w:rFonts w:cs="Arial"/>
        </w:rPr>
      </w:pPr>
      <w:hyperlink r:id="rId109" w:history="1">
        <w:r w:rsidR="00913351" w:rsidRPr="006A6CE3">
          <w:rPr>
            <w:rStyle w:val="Hyperlink"/>
            <w:rFonts w:cs="Arial"/>
          </w:rPr>
          <w:t>http://www.environment-agency.gov.uk/business/topics/permitting/32320.aspx</w:t>
        </w:r>
      </w:hyperlink>
    </w:p>
    <w:p w:rsidR="00913351" w:rsidRPr="006A6CE3" w:rsidRDefault="00913351" w:rsidP="00873F77">
      <w:pPr>
        <w:rPr>
          <w:rFonts w:cs="Arial"/>
        </w:rPr>
      </w:pPr>
      <w:r w:rsidRPr="006A6CE3">
        <w:rPr>
          <w:rFonts w:cs="Arial"/>
        </w:rPr>
        <w:t xml:space="preserve">Information about air quality monitoring is available at UK Air: </w:t>
      </w:r>
      <w:hyperlink r:id="rId110" w:history="1">
        <w:r w:rsidRPr="006A6CE3">
          <w:rPr>
            <w:rStyle w:val="Hyperlink"/>
            <w:rFonts w:cs="Arial"/>
          </w:rPr>
          <w:t>http://uk-air.defra.gov.uk/</w:t>
        </w:r>
      </w:hyperlink>
    </w:p>
    <w:p w:rsidR="00913351" w:rsidRPr="006A6CE3" w:rsidRDefault="00913351" w:rsidP="00E204D9">
      <w:pPr>
        <w:rPr>
          <w:rFonts w:cs="Arial"/>
        </w:rPr>
      </w:pPr>
      <w:r w:rsidRPr="006A6CE3">
        <w:rPr>
          <w:rFonts w:cs="Arial"/>
        </w:rPr>
        <w:t xml:space="preserve">The National Atmospheric Emissions Inventory is also a source of detailed information on air emissions in the UK. </w:t>
      </w:r>
      <w:hyperlink r:id="rId111" w:history="1">
        <w:r w:rsidRPr="006A6CE3">
          <w:rPr>
            <w:rStyle w:val="Hyperlink"/>
            <w:rFonts w:cs="Arial"/>
          </w:rPr>
          <w:t>http://naei.defra.gov.uk/index.php</w:t>
        </w:r>
      </w:hyperlink>
    </w:p>
    <w:p w:rsidR="00AA48B1" w:rsidRPr="006A6CE3" w:rsidRDefault="00AA48B1" w:rsidP="00E204D9">
      <w:pPr>
        <w:rPr>
          <w:rFonts w:cs="Arial"/>
        </w:rPr>
      </w:pPr>
    </w:p>
    <w:p w:rsidR="00913351" w:rsidRPr="006A6CE3" w:rsidRDefault="00913351" w:rsidP="0086258B">
      <w:pPr>
        <w:numPr>
          <w:ilvl w:val="0"/>
          <w:numId w:val="66"/>
        </w:numPr>
        <w:spacing w:before="0" w:after="200"/>
        <w:rPr>
          <w:rFonts w:cs="Arial"/>
          <w:b/>
          <w:lang w:eastAsia="en-GB"/>
        </w:rPr>
      </w:pPr>
      <w:r w:rsidRPr="006A6CE3">
        <w:rPr>
          <w:rFonts w:cs="Arial"/>
          <w:b/>
          <w:lang w:eastAsia="en-GB"/>
        </w:rPr>
        <w:t>Other Information</w:t>
      </w:r>
    </w:p>
    <w:p w:rsidR="00913351" w:rsidRPr="006A6CE3" w:rsidRDefault="00913351" w:rsidP="00E204D9">
      <w:pPr>
        <w:spacing w:before="0"/>
        <w:rPr>
          <w:rFonts w:cs="Arial"/>
          <w:b/>
          <w:lang w:eastAsia="en-GB"/>
        </w:rPr>
      </w:pPr>
      <w:r w:rsidRPr="006A6CE3">
        <w:rPr>
          <w:rFonts w:cs="Arial"/>
          <w:b/>
          <w:lang w:eastAsia="en-GB"/>
        </w:rPr>
        <w:t>The following table is a list of metals and some of their main industrial uses.</w:t>
      </w:r>
    </w:p>
    <w:tbl>
      <w:tblPr>
        <w:tblW w:w="7844" w:type="dxa"/>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000" w:firstRow="0" w:lastRow="0" w:firstColumn="0" w:lastColumn="0" w:noHBand="0" w:noVBand="0"/>
      </w:tblPr>
      <w:tblGrid>
        <w:gridCol w:w="1471"/>
        <w:gridCol w:w="6373"/>
      </w:tblGrid>
      <w:tr w:rsidR="00913351" w:rsidRPr="006A6CE3" w:rsidTr="00AA48B1">
        <w:tc>
          <w:tcPr>
            <w:tcW w:w="1471" w:type="dxa"/>
          </w:tcPr>
          <w:p w:rsidR="00913351" w:rsidRPr="006A6CE3" w:rsidRDefault="00913351" w:rsidP="00E204D9">
            <w:pPr>
              <w:rPr>
                <w:rFonts w:cs="Arial"/>
                <w:b/>
                <w:sz w:val="22"/>
              </w:rPr>
            </w:pPr>
            <w:r w:rsidRPr="006A6CE3">
              <w:rPr>
                <w:rFonts w:cs="Arial"/>
                <w:b/>
                <w:sz w:val="22"/>
              </w:rPr>
              <w:t>Pollutant</w:t>
            </w:r>
            <w:r w:rsidRPr="006A6CE3">
              <w:rPr>
                <w:rStyle w:val="FootnoteReference"/>
                <w:rFonts w:cs="Arial"/>
                <w:b/>
                <w:sz w:val="22"/>
              </w:rPr>
              <w:footnoteReference w:id="129"/>
            </w:r>
          </w:p>
        </w:tc>
        <w:tc>
          <w:tcPr>
            <w:tcW w:w="6373" w:type="dxa"/>
          </w:tcPr>
          <w:p w:rsidR="00913351" w:rsidRPr="006A6CE3" w:rsidRDefault="00913351" w:rsidP="00E204D9">
            <w:pPr>
              <w:rPr>
                <w:rFonts w:cs="Arial"/>
                <w:b/>
                <w:sz w:val="22"/>
              </w:rPr>
            </w:pPr>
            <w:r w:rsidRPr="006A6CE3">
              <w:rPr>
                <w:rFonts w:cs="Arial"/>
                <w:b/>
                <w:sz w:val="22"/>
              </w:rPr>
              <w:t>Processes &amp; Activities</w:t>
            </w:r>
          </w:p>
        </w:tc>
      </w:tr>
      <w:tr w:rsidR="00913351" w:rsidRPr="006A6CE3" w:rsidTr="00AA48B1">
        <w:tc>
          <w:tcPr>
            <w:tcW w:w="1471" w:type="dxa"/>
          </w:tcPr>
          <w:p w:rsidR="00913351" w:rsidRPr="006A6CE3" w:rsidRDefault="00913351" w:rsidP="00E204D9">
            <w:pPr>
              <w:rPr>
                <w:rFonts w:cs="Arial"/>
                <w:sz w:val="22"/>
              </w:rPr>
            </w:pPr>
            <w:r w:rsidRPr="006A6CE3">
              <w:rPr>
                <w:rFonts w:cs="Arial"/>
                <w:sz w:val="22"/>
              </w:rPr>
              <w:t>Antimony</w:t>
            </w:r>
          </w:p>
        </w:tc>
        <w:tc>
          <w:tcPr>
            <w:tcW w:w="6373" w:type="dxa"/>
          </w:tcPr>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Petroleum refineries</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 xml:space="preserve">Fire retardants </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Electronic production</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Ceramic production</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Steel production (solder)</w:t>
            </w:r>
          </w:p>
        </w:tc>
      </w:tr>
      <w:tr w:rsidR="00913351" w:rsidRPr="006A6CE3" w:rsidTr="00AA48B1">
        <w:tc>
          <w:tcPr>
            <w:tcW w:w="1471" w:type="dxa"/>
          </w:tcPr>
          <w:p w:rsidR="00913351" w:rsidRPr="006A6CE3" w:rsidRDefault="00913351" w:rsidP="00E204D9">
            <w:pPr>
              <w:rPr>
                <w:rFonts w:cs="Arial"/>
                <w:sz w:val="22"/>
              </w:rPr>
            </w:pPr>
            <w:r w:rsidRPr="006A6CE3">
              <w:rPr>
                <w:rFonts w:cs="Arial"/>
                <w:sz w:val="22"/>
              </w:rPr>
              <w:t>Arsenic</w:t>
            </w:r>
          </w:p>
        </w:tc>
        <w:tc>
          <w:tcPr>
            <w:tcW w:w="6373" w:type="dxa"/>
          </w:tcPr>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Glass production</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Electronic production</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Fruit production</w:t>
            </w:r>
          </w:p>
        </w:tc>
      </w:tr>
      <w:tr w:rsidR="00913351" w:rsidRPr="006A6CE3" w:rsidTr="00AA48B1">
        <w:tc>
          <w:tcPr>
            <w:tcW w:w="1471" w:type="dxa"/>
          </w:tcPr>
          <w:p w:rsidR="00913351" w:rsidRPr="006A6CE3" w:rsidRDefault="00913351" w:rsidP="00E204D9">
            <w:pPr>
              <w:rPr>
                <w:rFonts w:cs="Arial"/>
                <w:sz w:val="22"/>
              </w:rPr>
            </w:pPr>
            <w:r w:rsidRPr="006A6CE3">
              <w:rPr>
                <w:rFonts w:cs="Arial"/>
                <w:sz w:val="22"/>
              </w:rPr>
              <w:lastRenderedPageBreak/>
              <w:t>Barium</w:t>
            </w:r>
          </w:p>
        </w:tc>
        <w:tc>
          <w:tcPr>
            <w:tcW w:w="6373" w:type="dxa"/>
          </w:tcPr>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Metal refineries</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Mining</w:t>
            </w:r>
          </w:p>
        </w:tc>
      </w:tr>
      <w:tr w:rsidR="00913351" w:rsidRPr="006A6CE3" w:rsidTr="00AA48B1">
        <w:tc>
          <w:tcPr>
            <w:tcW w:w="1471" w:type="dxa"/>
          </w:tcPr>
          <w:p w:rsidR="00913351" w:rsidRPr="006A6CE3" w:rsidRDefault="00913351" w:rsidP="00E204D9">
            <w:pPr>
              <w:rPr>
                <w:rFonts w:cs="Arial"/>
                <w:sz w:val="22"/>
              </w:rPr>
            </w:pPr>
            <w:r w:rsidRPr="006A6CE3">
              <w:rPr>
                <w:rFonts w:cs="Arial"/>
                <w:sz w:val="22"/>
              </w:rPr>
              <w:t>Beryllium</w:t>
            </w:r>
          </w:p>
        </w:tc>
        <w:tc>
          <w:tcPr>
            <w:tcW w:w="6373" w:type="dxa"/>
          </w:tcPr>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Metal refineries</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Electronic and electrical production</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Aerospace and defence industries</w:t>
            </w:r>
          </w:p>
        </w:tc>
      </w:tr>
      <w:tr w:rsidR="00913351" w:rsidRPr="006A6CE3" w:rsidTr="00AA48B1">
        <w:tc>
          <w:tcPr>
            <w:tcW w:w="1471" w:type="dxa"/>
          </w:tcPr>
          <w:p w:rsidR="00913351" w:rsidRPr="006A6CE3" w:rsidRDefault="00913351" w:rsidP="00E204D9">
            <w:pPr>
              <w:rPr>
                <w:rFonts w:cs="Arial"/>
                <w:sz w:val="22"/>
              </w:rPr>
            </w:pPr>
            <w:r w:rsidRPr="006A6CE3">
              <w:rPr>
                <w:rFonts w:cs="Arial"/>
                <w:sz w:val="22"/>
              </w:rPr>
              <w:t>Boron</w:t>
            </w:r>
          </w:p>
        </w:tc>
        <w:tc>
          <w:tcPr>
            <w:tcW w:w="6373" w:type="dxa"/>
          </w:tcPr>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Pyrotechnic flares</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 xml:space="preserve">Insulation fibreglass </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Sodium bleach and disinfectants</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Manufacture of borosilicate glasses</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Boron filaments in aerospace structures</w:t>
            </w:r>
          </w:p>
        </w:tc>
      </w:tr>
      <w:tr w:rsidR="00913351" w:rsidRPr="006A6CE3" w:rsidTr="00AA48B1">
        <w:tc>
          <w:tcPr>
            <w:tcW w:w="1471" w:type="dxa"/>
          </w:tcPr>
          <w:p w:rsidR="00913351" w:rsidRPr="006A6CE3" w:rsidRDefault="00913351" w:rsidP="00E204D9">
            <w:pPr>
              <w:rPr>
                <w:rFonts w:cs="Arial"/>
                <w:sz w:val="22"/>
              </w:rPr>
            </w:pPr>
            <w:r w:rsidRPr="006A6CE3">
              <w:rPr>
                <w:rFonts w:cs="Arial"/>
                <w:sz w:val="22"/>
              </w:rPr>
              <w:t>Cadmium</w:t>
            </w:r>
          </w:p>
        </w:tc>
        <w:tc>
          <w:tcPr>
            <w:tcW w:w="6373" w:type="dxa"/>
          </w:tcPr>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Corrosion of pipes</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Stabilisers for PVC</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Alloys and electronic compounds</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Landfill</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Metal refineries</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Refined petroleum products</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Batteries</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Paint</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Coatings (marine - aerospace applications)</w:t>
            </w:r>
          </w:p>
        </w:tc>
      </w:tr>
      <w:tr w:rsidR="00913351" w:rsidRPr="006A6CE3" w:rsidTr="00AA48B1">
        <w:tc>
          <w:tcPr>
            <w:tcW w:w="1471" w:type="dxa"/>
          </w:tcPr>
          <w:p w:rsidR="00913351" w:rsidRPr="006A6CE3" w:rsidRDefault="00913351" w:rsidP="00E204D9">
            <w:pPr>
              <w:rPr>
                <w:rFonts w:cs="Arial"/>
                <w:sz w:val="22"/>
              </w:rPr>
            </w:pPr>
            <w:r w:rsidRPr="006A6CE3">
              <w:rPr>
                <w:rFonts w:cs="Arial"/>
                <w:sz w:val="22"/>
              </w:rPr>
              <w:t>Chromium</w:t>
            </w:r>
          </w:p>
        </w:tc>
        <w:tc>
          <w:tcPr>
            <w:tcW w:w="6373" w:type="dxa"/>
          </w:tcPr>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Steel production (metal alloys)</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Landfill</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Pigments for paper, paints, cement and rubber</w:t>
            </w:r>
          </w:p>
        </w:tc>
      </w:tr>
      <w:tr w:rsidR="00913351" w:rsidRPr="006A6CE3" w:rsidTr="00AA48B1">
        <w:tc>
          <w:tcPr>
            <w:tcW w:w="1471" w:type="dxa"/>
          </w:tcPr>
          <w:p w:rsidR="00913351" w:rsidRPr="006A6CE3" w:rsidRDefault="00913351" w:rsidP="00E204D9">
            <w:pPr>
              <w:rPr>
                <w:rFonts w:cs="Arial"/>
                <w:sz w:val="22"/>
              </w:rPr>
            </w:pPr>
            <w:r w:rsidRPr="006A6CE3">
              <w:rPr>
                <w:rFonts w:cs="Arial"/>
                <w:sz w:val="22"/>
              </w:rPr>
              <w:t>Cobalt</w:t>
            </w:r>
          </w:p>
        </w:tc>
        <w:tc>
          <w:tcPr>
            <w:tcW w:w="6373" w:type="dxa"/>
          </w:tcPr>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Cobalt-bearing portables</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Rechargeable batteries</w:t>
            </w:r>
          </w:p>
        </w:tc>
      </w:tr>
      <w:tr w:rsidR="00913351" w:rsidRPr="006A6CE3" w:rsidTr="00AA48B1">
        <w:tc>
          <w:tcPr>
            <w:tcW w:w="1471" w:type="dxa"/>
          </w:tcPr>
          <w:p w:rsidR="00913351" w:rsidRPr="006A6CE3" w:rsidRDefault="00913351" w:rsidP="00E204D9">
            <w:pPr>
              <w:rPr>
                <w:rFonts w:cs="Arial"/>
                <w:sz w:val="22"/>
              </w:rPr>
            </w:pPr>
            <w:r w:rsidRPr="006A6CE3">
              <w:rPr>
                <w:rFonts w:cs="Arial"/>
                <w:sz w:val="22"/>
              </w:rPr>
              <w:t>Copper</w:t>
            </w:r>
          </w:p>
        </w:tc>
        <w:tc>
          <w:tcPr>
            <w:tcW w:w="6373" w:type="dxa"/>
          </w:tcPr>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Corrosion of pipes</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Landfill</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Additives to control algal growth</w:t>
            </w:r>
          </w:p>
        </w:tc>
      </w:tr>
      <w:tr w:rsidR="00913351" w:rsidRPr="006A6CE3" w:rsidTr="00AA48B1">
        <w:tc>
          <w:tcPr>
            <w:tcW w:w="1471" w:type="dxa"/>
          </w:tcPr>
          <w:p w:rsidR="00913351" w:rsidRPr="006A6CE3" w:rsidRDefault="00913351" w:rsidP="00E204D9">
            <w:pPr>
              <w:rPr>
                <w:rFonts w:cs="Arial"/>
                <w:sz w:val="22"/>
              </w:rPr>
            </w:pPr>
            <w:r w:rsidRPr="006A6CE3">
              <w:rPr>
                <w:rFonts w:cs="Arial"/>
                <w:sz w:val="22"/>
              </w:rPr>
              <w:t>Lead</w:t>
            </w:r>
          </w:p>
        </w:tc>
        <w:tc>
          <w:tcPr>
            <w:tcW w:w="6373" w:type="dxa"/>
          </w:tcPr>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Corrosion of pipes</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Batteries</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Petrol additives (forbidden in the EU)</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Pigments</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Landfill</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Cable sheathing</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Ammunition</w:t>
            </w:r>
          </w:p>
        </w:tc>
      </w:tr>
      <w:tr w:rsidR="00913351" w:rsidRPr="006A6CE3" w:rsidTr="00AA48B1">
        <w:tc>
          <w:tcPr>
            <w:tcW w:w="1471" w:type="dxa"/>
          </w:tcPr>
          <w:p w:rsidR="00913351" w:rsidRPr="006A6CE3" w:rsidRDefault="00913351" w:rsidP="00E204D9">
            <w:pPr>
              <w:rPr>
                <w:rFonts w:cs="Arial"/>
                <w:sz w:val="22"/>
              </w:rPr>
            </w:pPr>
            <w:r w:rsidRPr="006A6CE3">
              <w:rPr>
                <w:rFonts w:cs="Arial"/>
                <w:sz w:val="22"/>
              </w:rPr>
              <w:t>Manganese</w:t>
            </w:r>
          </w:p>
        </w:tc>
        <w:tc>
          <w:tcPr>
            <w:tcW w:w="6373" w:type="dxa"/>
          </w:tcPr>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Used in quantitative analysis and medicine</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Paints</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Landfill</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Glass colorant</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Alloys</w:t>
            </w:r>
          </w:p>
        </w:tc>
      </w:tr>
      <w:tr w:rsidR="00913351" w:rsidRPr="006A6CE3" w:rsidTr="00AA48B1">
        <w:tc>
          <w:tcPr>
            <w:tcW w:w="1471" w:type="dxa"/>
          </w:tcPr>
          <w:p w:rsidR="00913351" w:rsidRPr="006A6CE3" w:rsidRDefault="00913351" w:rsidP="00E204D9">
            <w:pPr>
              <w:rPr>
                <w:rFonts w:cs="Arial"/>
                <w:sz w:val="22"/>
              </w:rPr>
            </w:pPr>
            <w:r w:rsidRPr="006A6CE3">
              <w:rPr>
                <w:rFonts w:cs="Arial"/>
                <w:sz w:val="22"/>
              </w:rPr>
              <w:t>Mercury</w:t>
            </w:r>
          </w:p>
        </w:tc>
        <w:tc>
          <w:tcPr>
            <w:tcW w:w="6373" w:type="dxa"/>
          </w:tcPr>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Refineries</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Crop production</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Landfill</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Batteries</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 xml:space="preserve">Lamps </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Thermometers</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Fillings (dentistry)</w:t>
            </w:r>
          </w:p>
        </w:tc>
      </w:tr>
      <w:tr w:rsidR="00913351" w:rsidRPr="006A6CE3" w:rsidTr="00AA48B1">
        <w:tc>
          <w:tcPr>
            <w:tcW w:w="1471" w:type="dxa"/>
          </w:tcPr>
          <w:p w:rsidR="00913351" w:rsidRPr="006A6CE3" w:rsidRDefault="00913351" w:rsidP="00E204D9">
            <w:pPr>
              <w:rPr>
                <w:rFonts w:cs="Arial"/>
                <w:sz w:val="22"/>
              </w:rPr>
            </w:pPr>
            <w:r w:rsidRPr="006A6CE3">
              <w:rPr>
                <w:rFonts w:cs="Arial"/>
                <w:sz w:val="22"/>
              </w:rPr>
              <w:t>Nickel</w:t>
            </w:r>
          </w:p>
        </w:tc>
        <w:tc>
          <w:tcPr>
            <w:tcW w:w="6373" w:type="dxa"/>
          </w:tcPr>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Stainless steel and related alloys</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Coins</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lastRenderedPageBreak/>
              <w:t>Landfill</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Electronic devices’ batteries</w:t>
            </w:r>
          </w:p>
        </w:tc>
      </w:tr>
      <w:tr w:rsidR="00913351" w:rsidRPr="006A6CE3" w:rsidTr="00AA48B1">
        <w:tc>
          <w:tcPr>
            <w:tcW w:w="1471" w:type="dxa"/>
          </w:tcPr>
          <w:p w:rsidR="00913351" w:rsidRPr="006A6CE3" w:rsidRDefault="00913351" w:rsidP="00E204D9">
            <w:pPr>
              <w:rPr>
                <w:rFonts w:cs="Arial"/>
                <w:sz w:val="22"/>
              </w:rPr>
            </w:pPr>
            <w:r w:rsidRPr="006A6CE3">
              <w:rPr>
                <w:rFonts w:cs="Arial"/>
                <w:sz w:val="22"/>
              </w:rPr>
              <w:lastRenderedPageBreak/>
              <w:t>Selenium</w:t>
            </w:r>
          </w:p>
        </w:tc>
        <w:tc>
          <w:tcPr>
            <w:tcW w:w="6373" w:type="dxa"/>
          </w:tcPr>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Petroleum refineries</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Mining</w:t>
            </w:r>
          </w:p>
        </w:tc>
      </w:tr>
      <w:tr w:rsidR="00913351" w:rsidRPr="006A6CE3" w:rsidTr="00AA48B1">
        <w:tc>
          <w:tcPr>
            <w:tcW w:w="1471" w:type="dxa"/>
          </w:tcPr>
          <w:p w:rsidR="00913351" w:rsidRPr="006A6CE3" w:rsidRDefault="00913351" w:rsidP="00E204D9">
            <w:pPr>
              <w:rPr>
                <w:rFonts w:cs="Arial"/>
                <w:sz w:val="22"/>
              </w:rPr>
            </w:pPr>
            <w:r w:rsidRPr="006A6CE3">
              <w:rPr>
                <w:rFonts w:cs="Arial"/>
                <w:sz w:val="22"/>
              </w:rPr>
              <w:t>Silver</w:t>
            </w:r>
          </w:p>
        </w:tc>
        <w:tc>
          <w:tcPr>
            <w:tcW w:w="6373" w:type="dxa"/>
          </w:tcPr>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Photographic material and processes</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Mirrors</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Electric conductors</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Batteries</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Table cutlery</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Dental and medical</w:t>
            </w:r>
          </w:p>
        </w:tc>
      </w:tr>
      <w:tr w:rsidR="00913351" w:rsidRPr="006A6CE3" w:rsidTr="00AA48B1">
        <w:tc>
          <w:tcPr>
            <w:tcW w:w="1471" w:type="dxa"/>
          </w:tcPr>
          <w:p w:rsidR="00913351" w:rsidRPr="006A6CE3" w:rsidRDefault="00913351" w:rsidP="00E204D9">
            <w:pPr>
              <w:rPr>
                <w:rFonts w:cs="Arial"/>
                <w:sz w:val="22"/>
              </w:rPr>
            </w:pPr>
            <w:r w:rsidRPr="006A6CE3">
              <w:rPr>
                <w:rFonts w:cs="Arial"/>
                <w:sz w:val="22"/>
              </w:rPr>
              <w:t>Vanadium</w:t>
            </w:r>
          </w:p>
        </w:tc>
        <w:tc>
          <w:tcPr>
            <w:tcW w:w="6373" w:type="dxa"/>
          </w:tcPr>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Aerospace titanium alloys</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Chemical catalyst for glass and ceramics</w:t>
            </w:r>
          </w:p>
          <w:p w:rsidR="00913351" w:rsidRPr="006A6CE3" w:rsidRDefault="00913351" w:rsidP="00E204D9">
            <w:pPr>
              <w:pStyle w:val="NoSpacing"/>
              <w:rPr>
                <w:rFonts w:ascii="Arial" w:hAnsi="Arial" w:cs="Arial"/>
                <w:sz w:val="24"/>
                <w:lang w:bidi="en-US"/>
              </w:rPr>
            </w:pPr>
            <w:r w:rsidRPr="006A6CE3">
              <w:rPr>
                <w:rFonts w:ascii="Arial" w:hAnsi="Arial" w:cs="Arial"/>
                <w:sz w:val="24"/>
                <w:lang w:bidi="en-US"/>
              </w:rPr>
              <w:t xml:space="preserve">Dyes </w:t>
            </w:r>
          </w:p>
          <w:p w:rsidR="00913351" w:rsidRPr="006A6CE3" w:rsidRDefault="00913351" w:rsidP="00E204D9">
            <w:pPr>
              <w:pStyle w:val="NoSpacing"/>
              <w:rPr>
                <w:rFonts w:ascii="Arial" w:hAnsi="Arial" w:cs="Arial"/>
                <w:bCs/>
                <w:sz w:val="24"/>
                <w:lang w:bidi="en-US"/>
              </w:rPr>
            </w:pPr>
            <w:r w:rsidRPr="006A6CE3">
              <w:rPr>
                <w:rFonts w:ascii="Arial" w:hAnsi="Arial" w:cs="Arial"/>
                <w:sz w:val="24"/>
                <w:lang w:bidi="en-US"/>
              </w:rPr>
              <w:t>Target material for X-rays</w:t>
            </w:r>
          </w:p>
        </w:tc>
      </w:tr>
    </w:tbl>
    <w:p w:rsidR="00913351" w:rsidRPr="006A6CE3" w:rsidRDefault="00913351" w:rsidP="00E204D9">
      <w:pPr>
        <w:spacing w:before="0" w:line="240" w:lineRule="auto"/>
        <w:ind w:left="360"/>
        <w:rPr>
          <w:rFonts w:cs="Arial"/>
          <w:b/>
        </w:rPr>
      </w:pPr>
    </w:p>
    <w:p w:rsidR="00913351" w:rsidRPr="006A6CE3" w:rsidRDefault="00913351" w:rsidP="00EA5B43">
      <w:pPr>
        <w:pStyle w:val="Heading2"/>
      </w:pPr>
      <w:bookmarkStart w:id="359" w:name="_Annex_M:_Biodiversity"/>
      <w:bookmarkEnd w:id="359"/>
      <w:r w:rsidRPr="006A6CE3">
        <w:br w:type="page"/>
      </w:r>
      <w:bookmarkStart w:id="360" w:name="Annex_M_Biodiversity"/>
      <w:bookmarkStart w:id="361" w:name="_Toc358054605"/>
      <w:bookmarkStart w:id="362" w:name="_Toc358060245"/>
      <w:bookmarkStart w:id="363" w:name="_Toc358302318"/>
      <w:bookmarkStart w:id="364" w:name="_Toc380763598"/>
      <w:r w:rsidRPr="006A6CE3">
        <w:lastRenderedPageBreak/>
        <w:t>Annex M: Biodiversity and ecosystem services</w:t>
      </w:r>
      <w:bookmarkEnd w:id="360"/>
      <w:bookmarkEnd w:id="361"/>
      <w:bookmarkEnd w:id="362"/>
      <w:bookmarkEnd w:id="363"/>
      <w:bookmarkEnd w:id="364"/>
    </w:p>
    <w:p w:rsidR="00913351" w:rsidRPr="006A6CE3" w:rsidRDefault="00913351" w:rsidP="00E204D9">
      <w:pPr>
        <w:autoSpaceDE w:val="0"/>
        <w:autoSpaceDN w:val="0"/>
        <w:spacing w:before="120" w:after="240" w:line="240" w:lineRule="auto"/>
        <w:rPr>
          <w:rFonts w:cs="Arial"/>
          <w:b/>
          <w:color w:val="000000"/>
          <w:szCs w:val="24"/>
        </w:rPr>
      </w:pPr>
    </w:p>
    <w:p w:rsidR="00913351" w:rsidRPr="006A6CE3" w:rsidRDefault="00913351" w:rsidP="00E204D9">
      <w:pPr>
        <w:pStyle w:val="Heading4"/>
        <w:rPr>
          <w:rFonts w:cs="Arial"/>
          <w:i w:val="0"/>
          <w:color w:val="76923C"/>
          <w:sz w:val="28"/>
          <w:szCs w:val="28"/>
        </w:rPr>
      </w:pPr>
      <w:r w:rsidRPr="006A6CE3">
        <w:rPr>
          <w:rFonts w:cs="Arial"/>
          <w:i w:val="0"/>
          <w:color w:val="76923C"/>
          <w:sz w:val="28"/>
          <w:szCs w:val="28"/>
        </w:rPr>
        <w:t xml:space="preserve">What are Biodiversity and Ecosystem Services? </w:t>
      </w:r>
    </w:p>
    <w:p w:rsidR="00913351" w:rsidRPr="006A6CE3" w:rsidRDefault="00913351" w:rsidP="00AA48B1">
      <w:pPr>
        <w:rPr>
          <w:rFonts w:cs="Arial"/>
        </w:rPr>
      </w:pPr>
      <w:proofErr w:type="gramStart"/>
      <w:r w:rsidRPr="006A6CE3">
        <w:rPr>
          <w:rFonts w:cs="Arial"/>
          <w:b/>
        </w:rPr>
        <w:t>Biodiversity.</w:t>
      </w:r>
      <w:proofErr w:type="gramEnd"/>
      <w:r w:rsidRPr="006A6CE3">
        <w:rPr>
          <w:rFonts w:cs="Arial"/>
          <w:b/>
        </w:rPr>
        <w:t xml:space="preserve"> </w:t>
      </w:r>
      <w:r w:rsidRPr="006A6CE3">
        <w:rPr>
          <w:rFonts w:cs="Arial"/>
        </w:rPr>
        <w:t>The UN defines biodiversity as "the variability among living organisms from all sources including, inter alia, terrestrial, marine and other aquatic ecosystems and the ecological complexes of which they are part; this includes diversity within species, between species and of ecosystems”.</w:t>
      </w:r>
    </w:p>
    <w:p w:rsidR="00913351" w:rsidRPr="006A6CE3" w:rsidRDefault="00913351" w:rsidP="00AA48B1">
      <w:pPr>
        <w:rPr>
          <w:rFonts w:cs="Arial"/>
        </w:rPr>
      </w:pPr>
      <w:proofErr w:type="gramStart"/>
      <w:r w:rsidRPr="006A6CE3">
        <w:rPr>
          <w:rFonts w:cs="Arial"/>
          <w:b/>
        </w:rPr>
        <w:t>Ecosystems.</w:t>
      </w:r>
      <w:proofErr w:type="gramEnd"/>
      <w:r w:rsidRPr="006A6CE3">
        <w:rPr>
          <w:rFonts w:cs="Arial"/>
          <w:b/>
        </w:rPr>
        <w:t xml:space="preserve"> </w:t>
      </w:r>
      <w:r w:rsidRPr="006A6CE3">
        <w:rPr>
          <w:rFonts w:cs="Arial"/>
        </w:rPr>
        <w:t xml:space="preserve">An ecosystem is a dynamic complex of flora, fauna, microbes and their non-living environment (soil, air, water) interacting with one another as a functional unit. Examples of ecosystems are forests, grass-lands, mangroves and urban areas. </w:t>
      </w:r>
    </w:p>
    <w:p w:rsidR="00913351" w:rsidRPr="006A6CE3" w:rsidRDefault="00913351" w:rsidP="00AA48B1">
      <w:pPr>
        <w:rPr>
          <w:rFonts w:cs="Arial"/>
        </w:rPr>
      </w:pPr>
      <w:proofErr w:type="gramStart"/>
      <w:r w:rsidRPr="006A6CE3">
        <w:rPr>
          <w:rFonts w:cs="Arial"/>
          <w:b/>
        </w:rPr>
        <w:t>Ecosystem Services.</w:t>
      </w:r>
      <w:proofErr w:type="gramEnd"/>
      <w:r w:rsidRPr="006A6CE3">
        <w:rPr>
          <w:rFonts w:cs="Arial"/>
          <w:b/>
        </w:rPr>
        <w:t xml:space="preserve"> </w:t>
      </w:r>
      <w:r w:rsidRPr="006A6CE3">
        <w:rPr>
          <w:rFonts w:cs="Arial"/>
        </w:rPr>
        <w:t>Ecosystem services are the benefits that humans obtain from ecosystems, and they are produced by interactions within the ecosystem. Different types of ecosystems and services can be distinguished.</w:t>
      </w:r>
      <w:r w:rsidRPr="006A6CE3">
        <w:rPr>
          <w:rStyle w:val="FootnoteReference"/>
          <w:rFonts w:cs="Arial"/>
          <w:color w:val="000000"/>
          <w:szCs w:val="24"/>
        </w:rPr>
        <w:footnoteReference w:id="130"/>
      </w:r>
    </w:p>
    <w:p w:rsidR="00913351" w:rsidRPr="006A6CE3" w:rsidRDefault="00913351" w:rsidP="00AA48B1">
      <w:pPr>
        <w:rPr>
          <w:rFonts w:cs="Arial"/>
        </w:rPr>
      </w:pPr>
      <w:r w:rsidRPr="006A6CE3">
        <w:rPr>
          <w:rFonts w:cs="Arial"/>
        </w:rPr>
        <w:t xml:space="preserve">The Millennium Ecosystem Assessment (MA), grouped ecosystem services into four broad categories: </w:t>
      </w:r>
    </w:p>
    <w:p w:rsidR="00913351" w:rsidRPr="006A6CE3" w:rsidRDefault="00913351" w:rsidP="0086258B">
      <w:pPr>
        <w:numPr>
          <w:ilvl w:val="0"/>
          <w:numId w:val="68"/>
        </w:numPr>
        <w:rPr>
          <w:rFonts w:cs="Arial"/>
        </w:rPr>
      </w:pPr>
      <w:r w:rsidRPr="006A6CE3">
        <w:rPr>
          <w:rFonts w:cs="Arial"/>
        </w:rPr>
        <w:t xml:space="preserve">Provisioning services: Goods or products obtained from ecosystems such as food, freshwater, timber and fibre; </w:t>
      </w:r>
    </w:p>
    <w:p w:rsidR="00913351" w:rsidRPr="006A6CE3" w:rsidRDefault="00913351" w:rsidP="0086258B">
      <w:pPr>
        <w:numPr>
          <w:ilvl w:val="0"/>
          <w:numId w:val="68"/>
        </w:numPr>
        <w:rPr>
          <w:rFonts w:cs="Arial"/>
        </w:rPr>
      </w:pPr>
      <w:r w:rsidRPr="006A6CE3">
        <w:rPr>
          <w:rFonts w:cs="Arial"/>
        </w:rPr>
        <w:t xml:space="preserve">Regulating services: Benefits obtained from natural processes such as climate, disease, erosion, water flows and pollination, as well as protection from natural hazards; </w:t>
      </w:r>
    </w:p>
    <w:p w:rsidR="00913351" w:rsidRPr="006A6CE3" w:rsidRDefault="00913351" w:rsidP="0086258B">
      <w:pPr>
        <w:numPr>
          <w:ilvl w:val="0"/>
          <w:numId w:val="68"/>
        </w:numPr>
        <w:rPr>
          <w:rFonts w:cs="Arial"/>
        </w:rPr>
      </w:pPr>
      <w:r w:rsidRPr="006A6CE3">
        <w:rPr>
          <w:rFonts w:cs="Arial"/>
        </w:rPr>
        <w:t xml:space="preserve">Cultural services: Non-material benefits obtained from ecosystems, such as recreation, spiritual values and aesthetic enjoyment (elements of biodiversity are included within this e.g. charismatic species); </w:t>
      </w:r>
    </w:p>
    <w:p w:rsidR="00913351" w:rsidRPr="006A6CE3" w:rsidRDefault="00913351" w:rsidP="0086258B">
      <w:pPr>
        <w:numPr>
          <w:ilvl w:val="0"/>
          <w:numId w:val="68"/>
        </w:numPr>
        <w:rPr>
          <w:rFonts w:cs="Arial"/>
        </w:rPr>
      </w:pPr>
      <w:r w:rsidRPr="006A6CE3">
        <w:rPr>
          <w:rFonts w:cs="Arial"/>
        </w:rPr>
        <w:t xml:space="preserve">Supporting services: Functions that maintain all other services, such as photosynthesis, water and nutrient cycling. </w:t>
      </w:r>
    </w:p>
    <w:p w:rsidR="00913351" w:rsidRPr="006A6CE3" w:rsidRDefault="00913351" w:rsidP="00AA48B1">
      <w:pPr>
        <w:rPr>
          <w:rFonts w:cs="Arial"/>
        </w:rPr>
      </w:pPr>
    </w:p>
    <w:p w:rsidR="00913351" w:rsidRPr="006A6CE3" w:rsidRDefault="00913351" w:rsidP="00AA48B1">
      <w:pPr>
        <w:rPr>
          <w:rFonts w:cs="Arial"/>
        </w:rPr>
      </w:pPr>
      <w:r w:rsidRPr="006A6CE3">
        <w:rPr>
          <w:rFonts w:cs="Arial"/>
        </w:rPr>
        <w:t xml:space="preserve">The report on The Economics of Ecosystems and Biodiversity (TEEB) further refined this list of 4 by identifying 22 service types that ecosystems provide. You might find these </w:t>
      </w:r>
      <w:r w:rsidRPr="006A6CE3">
        <w:rPr>
          <w:rFonts w:cs="Arial"/>
        </w:rPr>
        <w:lastRenderedPageBreak/>
        <w:t>helpful in understanding the linkages to natural capital</w:t>
      </w:r>
      <w:r w:rsidRPr="006A6CE3">
        <w:rPr>
          <w:rStyle w:val="FootnoteReference"/>
          <w:rFonts w:cs="Arial"/>
          <w:szCs w:val="24"/>
        </w:rPr>
        <w:footnoteReference w:id="131"/>
      </w:r>
      <w:r w:rsidRPr="006A6CE3">
        <w:rPr>
          <w:rFonts w:cs="Arial"/>
        </w:rPr>
        <w:t xml:space="preserve"> by making a distinction between the natural capital assets that give rise to a flow of benefits, and a particular aspect of human well-being. </w:t>
      </w:r>
    </w:p>
    <w:p w:rsidR="00913351" w:rsidRPr="006A6CE3" w:rsidRDefault="00913351" w:rsidP="00AA48B1">
      <w:pPr>
        <w:rPr>
          <w:rFonts w:cs="Arial"/>
          <w:b/>
          <w:color w:val="76923C"/>
          <w:sz w:val="28"/>
          <w:szCs w:val="28"/>
        </w:rPr>
      </w:pPr>
      <w:r w:rsidRPr="006A6CE3">
        <w:rPr>
          <w:rFonts w:cs="Arial"/>
          <w:b/>
          <w:color w:val="76923C"/>
          <w:sz w:val="28"/>
          <w:szCs w:val="28"/>
        </w:rPr>
        <w:t xml:space="preserve">Biodiversity Offsets </w:t>
      </w:r>
    </w:p>
    <w:p w:rsidR="00913351" w:rsidRPr="006A6CE3" w:rsidRDefault="00913351" w:rsidP="00AA48B1">
      <w:pPr>
        <w:rPr>
          <w:rFonts w:cs="Arial"/>
        </w:rPr>
      </w:pPr>
      <w:r w:rsidRPr="006A6CE3">
        <w:rPr>
          <w:rFonts w:cs="Arial"/>
        </w:rPr>
        <w:t xml:space="preserve">Biodiversity offsets are conservation activities designed to deliver biodiversity benefits in compensation for losses, in a measurable way. They can be used to compensate for residual impacts on biodiversity from development activities, as a final step after avoiding losses wherever possible, and mitigating for impacts on site. </w:t>
      </w:r>
    </w:p>
    <w:p w:rsidR="00913351" w:rsidRPr="006A6CE3" w:rsidRDefault="00913351" w:rsidP="00AA48B1">
      <w:pPr>
        <w:rPr>
          <w:rFonts w:cs="Arial"/>
          <w:szCs w:val="24"/>
        </w:rPr>
      </w:pPr>
      <w:r w:rsidRPr="006A6CE3">
        <w:rPr>
          <w:rFonts w:cs="Arial"/>
          <w:szCs w:val="24"/>
        </w:rPr>
        <w:t xml:space="preserve">Biodiversity offsets are distinguished from other forms of ecological compensation by the requirement to measure losses (due to impact) and gains (achievable through the offset) in the same way. </w:t>
      </w:r>
    </w:p>
    <w:p w:rsidR="00913351" w:rsidRPr="006A6CE3" w:rsidRDefault="00913351" w:rsidP="00AA48B1">
      <w:pPr>
        <w:rPr>
          <w:rFonts w:cs="Arial"/>
          <w:szCs w:val="24"/>
        </w:rPr>
      </w:pPr>
      <w:r w:rsidRPr="006A6CE3">
        <w:rPr>
          <w:rFonts w:cs="Arial"/>
          <w:szCs w:val="24"/>
        </w:rPr>
        <w:t xml:space="preserve">The Business and Biodiversity Offsets Program (BBOP) is an international partnership between companies, financial institutions, governments and civil society organizations to explore biodiversity offsets: </w:t>
      </w:r>
      <w:hyperlink r:id="rId112" w:history="1">
        <w:r w:rsidRPr="006A6CE3">
          <w:rPr>
            <w:rStyle w:val="Hyperlink"/>
            <w:rFonts w:cs="Arial"/>
            <w:szCs w:val="24"/>
          </w:rPr>
          <w:t>http://bbop.forest-trends.org/</w:t>
        </w:r>
      </w:hyperlink>
      <w:r w:rsidRPr="006A6CE3">
        <w:rPr>
          <w:rFonts w:cs="Arial"/>
          <w:szCs w:val="24"/>
        </w:rPr>
        <w:t xml:space="preserve"> . In January 2012, BBOP published the latest version of its standard for offsetting, which aims to help auditors, developers, conservation groups, communities, governments and financial institutions that wish to assess biodiversity offsets against the BBOP principles, criteria and indicators. </w:t>
      </w:r>
    </w:p>
    <w:p w:rsidR="00913351" w:rsidRPr="006A6CE3" w:rsidRDefault="00913351" w:rsidP="00AA48B1">
      <w:pPr>
        <w:rPr>
          <w:rFonts w:cs="Arial"/>
          <w:b/>
          <w:color w:val="76923C"/>
          <w:sz w:val="28"/>
          <w:szCs w:val="28"/>
        </w:rPr>
      </w:pPr>
      <w:r w:rsidRPr="006A6CE3">
        <w:rPr>
          <w:rFonts w:cs="Arial"/>
          <w:b/>
          <w:color w:val="76923C"/>
          <w:sz w:val="28"/>
          <w:szCs w:val="28"/>
        </w:rPr>
        <w:t xml:space="preserve">Indicators </w:t>
      </w:r>
    </w:p>
    <w:p w:rsidR="00913351" w:rsidRPr="006A6CE3" w:rsidRDefault="00913351" w:rsidP="00AA48B1">
      <w:pPr>
        <w:rPr>
          <w:rFonts w:cs="Arial"/>
          <w:szCs w:val="24"/>
        </w:rPr>
      </w:pPr>
      <w:r w:rsidRPr="006A6CE3">
        <w:rPr>
          <w:rFonts w:cs="Arial"/>
          <w:szCs w:val="24"/>
        </w:rPr>
        <w:t xml:space="preserve">Indicators are measures that summarise complex data into simple, standardised and communicable figures. Many indicators that relate to the aspects of biodiversity exist, however none capture biodiversity in its entirety. </w:t>
      </w:r>
    </w:p>
    <w:p w:rsidR="00913351" w:rsidRPr="006A6CE3" w:rsidRDefault="00913351" w:rsidP="00AA48B1">
      <w:pPr>
        <w:rPr>
          <w:rFonts w:cs="Arial"/>
          <w:szCs w:val="24"/>
        </w:rPr>
      </w:pPr>
      <w:r w:rsidRPr="006A6CE3">
        <w:rPr>
          <w:rFonts w:cs="Arial"/>
          <w:szCs w:val="24"/>
        </w:rPr>
        <w:t xml:space="preserve">You might find it easier to understand, communicate and act upon your biodiversity indicators if you consider the linkages that connect your activities to outcomes as follows: </w:t>
      </w:r>
    </w:p>
    <w:p w:rsidR="00913351" w:rsidRPr="006A6CE3" w:rsidRDefault="00913351" w:rsidP="0086258B">
      <w:pPr>
        <w:numPr>
          <w:ilvl w:val="0"/>
          <w:numId w:val="69"/>
        </w:numPr>
        <w:rPr>
          <w:rFonts w:cs="Arial"/>
          <w:szCs w:val="24"/>
        </w:rPr>
      </w:pPr>
      <w:r w:rsidRPr="006A6CE3">
        <w:rPr>
          <w:rFonts w:cs="Arial"/>
          <w:szCs w:val="24"/>
        </w:rPr>
        <w:t xml:space="preserve">Responses —actions to prevent or reduce biodiversity loss </w:t>
      </w:r>
    </w:p>
    <w:p w:rsidR="00913351" w:rsidRPr="006A6CE3" w:rsidRDefault="00913351" w:rsidP="0086258B">
      <w:pPr>
        <w:numPr>
          <w:ilvl w:val="0"/>
          <w:numId w:val="69"/>
        </w:numPr>
        <w:rPr>
          <w:rFonts w:cs="Arial"/>
          <w:szCs w:val="24"/>
        </w:rPr>
      </w:pPr>
      <w:r w:rsidRPr="006A6CE3">
        <w:rPr>
          <w:rFonts w:cs="Arial"/>
          <w:szCs w:val="24"/>
        </w:rPr>
        <w:t xml:space="preserve">Pressures — the threats to biodiversity that your responses aim to address </w:t>
      </w:r>
    </w:p>
    <w:p w:rsidR="00913351" w:rsidRPr="006A6CE3" w:rsidRDefault="00913351" w:rsidP="0086258B">
      <w:pPr>
        <w:numPr>
          <w:ilvl w:val="0"/>
          <w:numId w:val="69"/>
        </w:numPr>
        <w:rPr>
          <w:rFonts w:cs="Arial"/>
          <w:szCs w:val="24"/>
        </w:rPr>
      </w:pPr>
      <w:r w:rsidRPr="006A6CE3">
        <w:rPr>
          <w:rFonts w:cs="Arial"/>
          <w:szCs w:val="24"/>
        </w:rPr>
        <w:t xml:space="preserve">State — the condition of biodiversity and how it is changing </w:t>
      </w:r>
    </w:p>
    <w:p w:rsidR="00913351" w:rsidRPr="006A6CE3" w:rsidRDefault="00913351" w:rsidP="0086258B">
      <w:pPr>
        <w:numPr>
          <w:ilvl w:val="0"/>
          <w:numId w:val="69"/>
        </w:numPr>
        <w:rPr>
          <w:rFonts w:cs="Arial"/>
          <w:szCs w:val="24"/>
        </w:rPr>
      </w:pPr>
      <w:r w:rsidRPr="006A6CE3">
        <w:rPr>
          <w:rFonts w:cs="Arial"/>
          <w:szCs w:val="24"/>
        </w:rPr>
        <w:t xml:space="preserve">Benefits — amount and change in benefits and services that humans derive from biodiversity </w:t>
      </w:r>
    </w:p>
    <w:p w:rsidR="00913351" w:rsidRPr="006A6CE3" w:rsidRDefault="00913351" w:rsidP="00AA48B1">
      <w:pPr>
        <w:rPr>
          <w:rFonts w:cs="Arial"/>
          <w:szCs w:val="24"/>
        </w:rPr>
      </w:pPr>
      <w:r w:rsidRPr="006A6CE3">
        <w:rPr>
          <w:rFonts w:cs="Arial"/>
        </w:rPr>
        <w:lastRenderedPageBreak/>
        <w:t>There is cyclical nature to these four indicators where the state of, or action in one impacts on the next. Linking these 4 indicator types together makes it clear that there is a cyclical nature to your decisions and the corresponding impact on biodiversity i.e. your decisions can lead to pressures on biodiversity which in turn impact on the state of biodiversity which can then alter the benefits from biodiversity. You can start from any point in this cycle i.e. a</w:t>
      </w:r>
      <w:r w:rsidRPr="006A6CE3">
        <w:rPr>
          <w:rFonts w:cs="Arial"/>
          <w:szCs w:val="24"/>
        </w:rPr>
        <w:t xml:space="preserve"> change in the benefits from biodiversity could lead to a response by your organisation etc. This approach can be applied to any organisation, sector or system and is a simple way of understanding the Response-Pressure-State-Benefit approach.</w:t>
      </w:r>
    </w:p>
    <w:p w:rsidR="00913351" w:rsidRPr="006A6CE3" w:rsidRDefault="00913351" w:rsidP="00E204D9">
      <w:pPr>
        <w:autoSpaceDE w:val="0"/>
        <w:autoSpaceDN w:val="0"/>
        <w:spacing w:before="120" w:after="240" w:line="240" w:lineRule="auto"/>
        <w:rPr>
          <w:rFonts w:cs="Arial"/>
          <w:szCs w:val="24"/>
        </w:rPr>
      </w:pPr>
      <w:r w:rsidRPr="006A6CE3">
        <w:rPr>
          <w:rFonts w:cs="Arial"/>
          <w:szCs w:val="24"/>
        </w:rPr>
        <w:t xml:space="preserve"> </w:t>
      </w:r>
    </w:p>
    <w:sectPr w:rsidR="00913351" w:rsidRPr="006A6CE3" w:rsidSect="00D34628">
      <w:footerReference w:type="default" r:id="rId1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591" w:rsidRDefault="00C93591" w:rsidP="00EF7E2A">
      <w:pPr>
        <w:spacing w:after="0"/>
      </w:pPr>
      <w:r>
        <w:separator/>
      </w:r>
    </w:p>
  </w:endnote>
  <w:endnote w:type="continuationSeparator" w:id="0">
    <w:p w:rsidR="00C93591" w:rsidRDefault="00C93591" w:rsidP="00EF7E2A">
      <w:pPr>
        <w:spacing w:after="0"/>
      </w:pPr>
      <w:r>
        <w:continuationSeparator/>
      </w:r>
    </w:p>
  </w:endnote>
  <w:endnote w:id="1">
    <w:p w:rsidR="0040731C" w:rsidRDefault="0040731C"/>
    <w:p w:rsidR="0040731C" w:rsidRPr="00A656ED" w:rsidRDefault="0040731C" w:rsidP="0091335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PEHM J+ Zurich BT">
    <w:altName w:val="Zurich"/>
    <w:panose1 w:val="00000000000000000000"/>
    <w:charset w:val="00"/>
    <w:family w:val="swiss"/>
    <w:notTrueType/>
    <w:pitch w:val="default"/>
    <w:sig w:usb0="00000003" w:usb1="00000000" w:usb2="00000000" w:usb3="00000000" w:csb0="00000001" w:csb1="00000000"/>
  </w:font>
  <w:font w:name="OVGLDE+MyriadPro-Light">
    <w:altName w:val="Myriad Pro"/>
    <w:panose1 w:val="00000000000000000000"/>
    <w:charset w:val="00"/>
    <w:family w:val="swiss"/>
    <w:notTrueType/>
    <w:pitch w:val="default"/>
    <w:sig w:usb0="00000003" w:usb1="00000000" w:usb2="00000000" w:usb3="00000000" w:csb0="00000001" w:csb1="00000000"/>
  </w:font>
  <w:font w:name="Ubuntu Light">
    <w:altName w:val="Ubuntu Light"/>
    <w:panose1 w:val="00000000000000000000"/>
    <w:charset w:val="00"/>
    <w:family w:val="swiss"/>
    <w:notTrueType/>
    <w:pitch w:val="default"/>
    <w:sig w:usb0="00000003" w:usb1="00000000" w:usb2="00000000" w:usb3="00000000" w:csb0="00000001" w:csb1="00000000"/>
  </w:font>
  <w:font w:name="HelveticaNeue-Medium">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1C" w:rsidRDefault="0040731C">
    <w:pPr>
      <w:pStyle w:val="Footer"/>
    </w:pPr>
  </w:p>
  <w:p w:rsidR="0040731C" w:rsidRDefault="004073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1C" w:rsidRDefault="0040731C">
    <w:pPr>
      <w:pStyle w:val="Footer"/>
      <w:jc w:val="center"/>
    </w:pPr>
    <w:r>
      <w:fldChar w:fldCharType="begin"/>
    </w:r>
    <w:r>
      <w:instrText xml:space="preserve"> PAGE   \* MERGEFORMAT </w:instrText>
    </w:r>
    <w:r>
      <w:fldChar w:fldCharType="separate"/>
    </w:r>
    <w:r w:rsidR="00F46552">
      <w:rPr>
        <w:noProof/>
      </w:rPr>
      <w:t>41</w:t>
    </w:r>
    <w:r>
      <w:rPr>
        <w:noProof/>
      </w:rPr>
      <w:fldChar w:fldCharType="end"/>
    </w:r>
  </w:p>
  <w:p w:rsidR="0040731C" w:rsidRDefault="004073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1C" w:rsidRDefault="0040731C">
    <w:pPr>
      <w:pStyle w:val="Footer"/>
      <w:jc w:val="center"/>
    </w:pPr>
    <w:r>
      <w:fldChar w:fldCharType="begin"/>
    </w:r>
    <w:r>
      <w:instrText xml:space="preserve"> PAGE   \* MERGEFORMAT </w:instrText>
    </w:r>
    <w:r>
      <w:fldChar w:fldCharType="separate"/>
    </w:r>
    <w:r w:rsidR="00F46552">
      <w:rPr>
        <w:noProof/>
      </w:rPr>
      <w:t>97</w:t>
    </w:r>
    <w:r>
      <w:rPr>
        <w:noProof/>
      </w:rPr>
      <w:fldChar w:fldCharType="end"/>
    </w:r>
  </w:p>
  <w:p w:rsidR="0040731C" w:rsidRDefault="004073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1C" w:rsidRDefault="0040731C">
    <w:pPr>
      <w:pStyle w:val="Footer"/>
      <w:jc w:val="center"/>
    </w:pPr>
    <w:r>
      <w:fldChar w:fldCharType="begin"/>
    </w:r>
    <w:r>
      <w:instrText xml:space="preserve"> PAGE   \* MERGEFORMAT </w:instrText>
    </w:r>
    <w:r>
      <w:fldChar w:fldCharType="separate"/>
    </w:r>
    <w:r w:rsidR="00F46552">
      <w:rPr>
        <w:noProof/>
      </w:rPr>
      <w:t>138</w:t>
    </w:r>
    <w:r>
      <w:rPr>
        <w:noProof/>
      </w:rPr>
      <w:fldChar w:fldCharType="end"/>
    </w:r>
  </w:p>
  <w:p w:rsidR="0040731C" w:rsidRDefault="0040731C" w:rsidP="00D34628">
    <w:pPr>
      <w:tabs>
        <w:tab w:val="left" w:pos="75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591" w:rsidRDefault="00C93591" w:rsidP="00EF7E2A">
      <w:pPr>
        <w:spacing w:after="0"/>
      </w:pPr>
      <w:r>
        <w:separator/>
      </w:r>
    </w:p>
  </w:footnote>
  <w:footnote w:type="continuationSeparator" w:id="0">
    <w:p w:rsidR="00C93591" w:rsidRDefault="00C93591" w:rsidP="00EF7E2A">
      <w:pPr>
        <w:spacing w:after="0"/>
      </w:pPr>
      <w:r>
        <w:continuationSeparator/>
      </w:r>
    </w:p>
  </w:footnote>
  <w:footnote w:id="1">
    <w:p w:rsidR="0040731C" w:rsidRPr="00AA48B1" w:rsidRDefault="0040731C" w:rsidP="00913351">
      <w:pPr>
        <w:pStyle w:val="Default"/>
        <w:rPr>
          <w:sz w:val="20"/>
        </w:rPr>
      </w:pPr>
      <w:r w:rsidRPr="00AA48B1">
        <w:rPr>
          <w:rStyle w:val="FootnoteReference"/>
          <w:sz w:val="20"/>
          <w:szCs w:val="20"/>
        </w:rPr>
        <w:footnoteRef/>
      </w:r>
      <w:r w:rsidRPr="00AA48B1">
        <w:rPr>
          <w:sz w:val="20"/>
          <w:szCs w:val="20"/>
        </w:rPr>
        <w:t xml:space="preserve"> 2011 report for Defra by </w:t>
      </w:r>
      <w:proofErr w:type="spellStart"/>
      <w:r w:rsidRPr="00AA48B1">
        <w:rPr>
          <w:sz w:val="20"/>
          <w:szCs w:val="20"/>
        </w:rPr>
        <w:t>Oakdene</w:t>
      </w:r>
      <w:proofErr w:type="spellEnd"/>
      <w:r w:rsidRPr="00AA48B1">
        <w:rPr>
          <w:sz w:val="20"/>
          <w:szCs w:val="20"/>
        </w:rPr>
        <w:t xml:space="preserve"> </w:t>
      </w:r>
      <w:proofErr w:type="spellStart"/>
      <w:r w:rsidRPr="00AA48B1">
        <w:rPr>
          <w:sz w:val="20"/>
          <w:szCs w:val="20"/>
        </w:rPr>
        <w:t>Hollins</w:t>
      </w:r>
      <w:proofErr w:type="spellEnd"/>
      <w:r w:rsidRPr="00AA48B1">
        <w:rPr>
          <w:sz w:val="20"/>
          <w:szCs w:val="20"/>
        </w:rPr>
        <w:t xml:space="preserve">.  The study estimated that the UK savings opportunities associated with no cost / low </w:t>
      </w:r>
      <w:proofErr w:type="gramStart"/>
      <w:r w:rsidRPr="00AA48B1">
        <w:rPr>
          <w:sz w:val="20"/>
          <w:szCs w:val="20"/>
        </w:rPr>
        <w:t>cost  from</w:t>
      </w:r>
      <w:proofErr w:type="gramEnd"/>
      <w:r w:rsidRPr="00AA48B1">
        <w:rPr>
          <w:sz w:val="20"/>
          <w:szCs w:val="20"/>
        </w:rPr>
        <w:t xml:space="preserve"> resource efficiency activities w</w:t>
      </w:r>
      <w:r w:rsidRPr="00AA48B1">
        <w:rPr>
          <w:sz w:val="20"/>
          <w:lang w:eastAsia="en-GB"/>
        </w:rPr>
        <w:t xml:space="preserve">ere estimated at a total of around </w:t>
      </w:r>
      <w:r w:rsidRPr="00AA48B1">
        <w:rPr>
          <w:bCs/>
          <w:sz w:val="20"/>
          <w:lang w:eastAsia="en-GB"/>
        </w:rPr>
        <w:t>£23billion</w:t>
      </w:r>
      <w:r w:rsidRPr="00AA48B1">
        <w:rPr>
          <w:b/>
          <w:bCs/>
          <w:sz w:val="20"/>
          <w:lang w:eastAsia="en-GB"/>
        </w:rPr>
        <w:t xml:space="preserve"> </w:t>
      </w:r>
      <w:r w:rsidRPr="00AA48B1">
        <w:rPr>
          <w:sz w:val="20"/>
          <w:lang w:eastAsia="en-GB"/>
        </w:rPr>
        <w:t xml:space="preserve">in 2009. </w:t>
      </w:r>
      <w:hyperlink r:id="rId1" w:history="1">
        <w:r w:rsidRPr="00AA48B1">
          <w:rPr>
            <w:rStyle w:val="Hyperlink"/>
            <w:sz w:val="20"/>
            <w:lang w:eastAsia="en-GB"/>
          </w:rPr>
          <w:t>Resource Efficiency Study</w:t>
        </w:r>
      </w:hyperlink>
    </w:p>
  </w:footnote>
  <w:footnote w:id="2">
    <w:p w:rsidR="0040731C" w:rsidRPr="00FF7E3F" w:rsidRDefault="0040731C" w:rsidP="00913351">
      <w:pPr>
        <w:pStyle w:val="FootnoteText"/>
        <w:rPr>
          <w:rFonts w:cs="Arial"/>
        </w:rPr>
      </w:pPr>
      <w:r w:rsidRPr="00AA48B1">
        <w:rPr>
          <w:rStyle w:val="FootnoteReference"/>
          <w:rFonts w:cs="Arial"/>
        </w:rPr>
        <w:footnoteRef/>
      </w:r>
      <w:r w:rsidRPr="00AA48B1">
        <w:rPr>
          <w:rFonts w:cs="Arial"/>
        </w:rPr>
        <w:t xml:space="preserve"> An evidence based study (EV0440) into the benefit of EMSs for SMEs. </w:t>
      </w:r>
    </w:p>
  </w:footnote>
  <w:footnote w:id="3">
    <w:p w:rsidR="0040731C" w:rsidRPr="00E204D9" w:rsidRDefault="0040731C" w:rsidP="00913351">
      <w:pPr>
        <w:pStyle w:val="NoSpacing"/>
        <w:rPr>
          <w:rFonts w:ascii="Arial" w:hAnsi="Arial" w:cs="Arial"/>
        </w:rPr>
      </w:pPr>
      <w:r w:rsidRPr="00E204D9">
        <w:rPr>
          <w:rStyle w:val="FootnoteReference"/>
          <w:rFonts w:ascii="Arial" w:hAnsi="Arial" w:cs="Arial"/>
        </w:rPr>
        <w:footnoteRef/>
      </w:r>
      <w:r w:rsidRPr="00E204D9">
        <w:rPr>
          <w:rFonts w:ascii="Arial" w:hAnsi="Arial" w:cs="Arial"/>
        </w:rPr>
        <w:t xml:space="preserve"> A quoted company is defined in section 385(2) of the Companies Act 2006 as a company that is UK incorporated and whose </w:t>
      </w:r>
      <w:r>
        <w:rPr>
          <w:rFonts w:ascii="Arial" w:hAnsi="Arial" w:cs="Arial"/>
        </w:rPr>
        <w:t>equity share capital is listed o</w:t>
      </w:r>
      <w:r w:rsidRPr="00E204D9">
        <w:rPr>
          <w:rFonts w:ascii="Arial" w:hAnsi="Arial" w:cs="Arial"/>
        </w:rPr>
        <w:t>n the</w:t>
      </w:r>
      <w:r>
        <w:rPr>
          <w:rFonts w:ascii="Arial" w:hAnsi="Arial" w:cs="Arial"/>
        </w:rPr>
        <w:t xml:space="preserve"> Main Market of the London Stock Exchange</w:t>
      </w:r>
      <w:r w:rsidRPr="00E204D9">
        <w:rPr>
          <w:rFonts w:ascii="Arial" w:hAnsi="Arial" w:cs="Arial"/>
        </w:rPr>
        <w:t xml:space="preserve"> UK or in an EEA State, or admitted to trading on the New York Stock Exchange or </w:t>
      </w:r>
      <w:proofErr w:type="gramStart"/>
      <w:r w:rsidRPr="00E204D9">
        <w:rPr>
          <w:rFonts w:ascii="Arial" w:hAnsi="Arial" w:cs="Arial"/>
        </w:rPr>
        <w:t>Nasdaq</w:t>
      </w:r>
      <w:proofErr w:type="gramEnd"/>
      <w:r w:rsidRPr="00E204D9">
        <w:rPr>
          <w:rFonts w:ascii="Arial" w:hAnsi="Arial" w:cs="Arial"/>
        </w:rPr>
        <w:t>.</w:t>
      </w:r>
    </w:p>
    <w:p w:rsidR="0040731C" w:rsidRPr="00E204D9" w:rsidRDefault="0040731C" w:rsidP="00913351">
      <w:pPr>
        <w:pStyle w:val="NoSpacing"/>
        <w:rPr>
          <w:rFonts w:ascii="Arial" w:hAnsi="Arial" w:cs="Arial"/>
        </w:rPr>
      </w:pPr>
    </w:p>
  </w:footnote>
  <w:footnote w:id="4">
    <w:p w:rsidR="0040731C" w:rsidRPr="00372C60" w:rsidRDefault="0040731C" w:rsidP="00913351">
      <w:pPr>
        <w:pStyle w:val="NoSpacing"/>
        <w:rPr>
          <w:rFonts w:cs="Arial"/>
        </w:rPr>
      </w:pPr>
      <w:r w:rsidRPr="00E204D9">
        <w:rPr>
          <w:rStyle w:val="FootnoteReference"/>
          <w:rFonts w:ascii="Arial" w:hAnsi="Arial" w:cs="Arial"/>
        </w:rPr>
        <w:footnoteRef/>
      </w:r>
      <w:r w:rsidRPr="00E204D9">
        <w:rPr>
          <w:rFonts w:ascii="Arial" w:hAnsi="Arial" w:cs="Arial"/>
        </w:rPr>
        <w:t xml:space="preserve"> The Companies Act 2006 (Strategic Report and Directors’ Report) Regulations 2013 will create a new structure for annual reports. Companies will be required to report on the impact of the company on the environment within a new section - the strategic report.</w:t>
      </w:r>
      <w:r w:rsidRPr="00372C60">
        <w:rPr>
          <w:rFonts w:cs="Arial"/>
        </w:rPr>
        <w:t xml:space="preserve"> </w:t>
      </w:r>
    </w:p>
  </w:footnote>
  <w:footnote w:id="5">
    <w:p w:rsidR="0040731C" w:rsidRPr="00372C60" w:rsidRDefault="0040731C" w:rsidP="00AA5265">
      <w:pPr>
        <w:autoSpaceDE w:val="0"/>
        <w:autoSpaceDN w:val="0"/>
        <w:adjustRightInd w:val="0"/>
        <w:spacing w:after="0" w:line="240" w:lineRule="auto"/>
        <w:jc w:val="both"/>
        <w:rPr>
          <w:rFonts w:cs="Arial"/>
          <w:sz w:val="20"/>
          <w:lang w:eastAsia="en-GB"/>
        </w:rPr>
      </w:pPr>
      <w:r w:rsidRPr="00372C60">
        <w:rPr>
          <w:rStyle w:val="FootnoteReference"/>
          <w:rFonts w:cs="Arial"/>
          <w:sz w:val="20"/>
        </w:rPr>
        <w:footnoteRef/>
      </w:r>
      <w:r>
        <w:rPr>
          <w:rFonts w:cs="Arial"/>
          <w:sz w:val="20"/>
        </w:rPr>
        <w:t xml:space="preserve"> </w:t>
      </w:r>
      <w:r w:rsidRPr="00372C60">
        <w:rPr>
          <w:rFonts w:cs="Arial"/>
          <w:sz w:val="20"/>
          <w:lang w:eastAsia="en-GB"/>
        </w:rPr>
        <w:t xml:space="preserve">Environmental Key Performance Indicators (KPIs) are quantifiable measures that reflect the environmental performance of an organisation in the context of achieving its wider goals and objectives. The focus is on ‘key’ measures i.e. those most important to an understanding of an organisation. You probably already collect a lot of data required to report on environmental KPIs, either because it is calculated from standard organisational data, such as utility bills, or because of existing regulatory requirements. </w:t>
      </w:r>
    </w:p>
    <w:p w:rsidR="0040731C" w:rsidRPr="00372C60" w:rsidRDefault="0040731C" w:rsidP="00913351">
      <w:pPr>
        <w:pStyle w:val="FootnoteText"/>
      </w:pPr>
    </w:p>
  </w:footnote>
  <w:footnote w:id="6">
    <w:p w:rsidR="0040731C" w:rsidRPr="00E204D9" w:rsidRDefault="0040731C" w:rsidP="00913351">
      <w:pPr>
        <w:pStyle w:val="NoSpacing"/>
        <w:rPr>
          <w:rFonts w:ascii="Arial" w:hAnsi="Arial" w:cs="Arial"/>
        </w:rPr>
      </w:pPr>
      <w:r w:rsidRPr="00E204D9">
        <w:rPr>
          <w:rStyle w:val="FootnoteReference"/>
          <w:rFonts w:ascii="Arial" w:hAnsi="Arial" w:cs="Arial"/>
        </w:rPr>
        <w:footnoteRef/>
      </w:r>
      <w:r w:rsidRPr="00E204D9">
        <w:rPr>
          <w:rFonts w:ascii="Arial" w:hAnsi="Arial" w:cs="Arial"/>
        </w:rPr>
        <w:t xml:space="preserve"> </w:t>
      </w:r>
      <w:hyperlink r:id="rId2" w:history="1">
        <w:r w:rsidRPr="00E204D9">
          <w:rPr>
            <w:rFonts w:ascii="Arial" w:hAnsi="Arial" w:cs="Arial"/>
          </w:rPr>
          <w:t>HM Treasury, Public Sector Annual Reports: Sustainability Reporting Guidance For 2011-12 Reporting</w:t>
        </w:r>
      </w:hyperlink>
    </w:p>
    <w:p w:rsidR="0040731C" w:rsidRPr="00E204D9" w:rsidRDefault="0040731C" w:rsidP="00913351">
      <w:pPr>
        <w:pStyle w:val="NoSpacing"/>
        <w:rPr>
          <w:rFonts w:ascii="Arial" w:hAnsi="Arial" w:cs="Arial"/>
        </w:rPr>
      </w:pPr>
    </w:p>
  </w:footnote>
  <w:footnote w:id="7">
    <w:p w:rsidR="0040731C" w:rsidRPr="00E204D9" w:rsidRDefault="0040731C" w:rsidP="00913351">
      <w:pPr>
        <w:pStyle w:val="NoSpacing"/>
        <w:rPr>
          <w:rFonts w:ascii="Arial" w:hAnsi="Arial" w:cs="Arial"/>
        </w:rPr>
      </w:pPr>
      <w:r w:rsidRPr="00E204D9">
        <w:rPr>
          <w:rStyle w:val="FootnoteReference"/>
          <w:rFonts w:ascii="Arial" w:hAnsi="Arial" w:cs="Arial"/>
        </w:rPr>
        <w:footnoteRef/>
      </w:r>
      <w:r w:rsidRPr="00E204D9">
        <w:rPr>
          <w:rFonts w:ascii="Arial" w:hAnsi="Arial" w:cs="Arial"/>
        </w:rPr>
        <w:t xml:space="preserve"> Via a letter to local authorities, see: </w:t>
      </w:r>
      <w:hyperlink r:id="rId3" w:history="1">
        <w:r w:rsidRPr="002D679C">
          <w:rPr>
            <w:rStyle w:val="Hyperlink"/>
            <w:rFonts w:ascii="Arial" w:hAnsi="Arial" w:cs="Arial"/>
          </w:rPr>
          <w:t>https://www.gov.uk/sharing-information-on-greenhouse-gas-emissions-from-local-authority-own-estate-and-operations-previously-ni-185</w:t>
        </w:r>
      </w:hyperlink>
      <w:r>
        <w:rPr>
          <w:rFonts w:ascii="Arial" w:hAnsi="Arial" w:cs="Arial"/>
        </w:rPr>
        <w:t xml:space="preserve"> </w:t>
      </w:r>
    </w:p>
  </w:footnote>
  <w:footnote w:id="8">
    <w:p w:rsidR="0040731C" w:rsidRPr="00E204D9" w:rsidRDefault="0040731C" w:rsidP="00913351">
      <w:pPr>
        <w:pStyle w:val="FootnoteText"/>
        <w:rPr>
          <w:rFonts w:cs="Arial"/>
        </w:rPr>
      </w:pPr>
      <w:r w:rsidRPr="00E204D9">
        <w:rPr>
          <w:rStyle w:val="FootnoteReference"/>
          <w:rFonts w:cs="Arial"/>
        </w:rPr>
        <w:footnoteRef/>
      </w:r>
      <w:r w:rsidRPr="00E204D9">
        <w:rPr>
          <w:rFonts w:cs="Arial"/>
        </w:rPr>
        <w:t xml:space="preserve"> Environmental reporting and annual financial reports – </w:t>
      </w:r>
      <w:hyperlink r:id="rId4" w:history="1">
        <w:r w:rsidRPr="006124D7">
          <w:rPr>
            <w:rStyle w:val="Hyperlink"/>
            <w:rFonts w:cs="Arial"/>
          </w:rPr>
          <w:t>www.environment-agency.gov.uk/environmentalfinance</w:t>
        </w:r>
      </w:hyperlink>
      <w:r>
        <w:rPr>
          <w:rFonts w:cs="Arial"/>
        </w:rPr>
        <w:t xml:space="preserve"> </w:t>
      </w:r>
    </w:p>
  </w:footnote>
  <w:footnote w:id="9">
    <w:p w:rsidR="0040731C" w:rsidRPr="00E204D9" w:rsidRDefault="0040731C" w:rsidP="00913351">
      <w:pPr>
        <w:pStyle w:val="FootnoteText"/>
        <w:rPr>
          <w:rFonts w:cs="Arial"/>
        </w:rPr>
      </w:pPr>
      <w:r w:rsidRPr="00E204D9">
        <w:rPr>
          <w:rStyle w:val="FootnoteReference"/>
          <w:rFonts w:cs="Arial"/>
        </w:rPr>
        <w:footnoteRef/>
      </w:r>
      <w:r w:rsidRPr="00E204D9">
        <w:rPr>
          <w:rFonts w:cs="Arial"/>
        </w:rPr>
        <w:t xml:space="preserve"> </w:t>
      </w:r>
      <w:proofErr w:type="gramStart"/>
      <w:r w:rsidRPr="00E204D9">
        <w:rPr>
          <w:rFonts w:cs="Arial"/>
        </w:rPr>
        <w:t>Drawn from accounting principles and the internationally-recognised Greenhouse Gas Protocol Corporate Accounting and Reporting Standard from the World Resources Institute and World Business Council for Sustainable Development, known as the “</w:t>
      </w:r>
      <w:hyperlink r:id="rId5" w:history="1">
        <w:r w:rsidRPr="00E204D9">
          <w:rPr>
            <w:rStyle w:val="Hyperlink"/>
            <w:rFonts w:cs="Arial"/>
          </w:rPr>
          <w:t>GHG Protocol Corporate Standard</w:t>
        </w:r>
      </w:hyperlink>
      <w:r w:rsidRPr="00E204D9">
        <w:rPr>
          <w:rFonts w:cs="Arial"/>
        </w:rPr>
        <w:t>”.</w:t>
      </w:r>
      <w:proofErr w:type="gramEnd"/>
    </w:p>
  </w:footnote>
  <w:footnote w:id="10">
    <w:p w:rsidR="0040731C" w:rsidRPr="00C64465" w:rsidRDefault="0040731C" w:rsidP="00913351">
      <w:pPr>
        <w:pStyle w:val="NoSpacing"/>
        <w:jc w:val="both"/>
        <w:rPr>
          <w:rFonts w:ascii="Arial" w:hAnsi="Arial" w:cs="Arial"/>
        </w:rPr>
      </w:pPr>
      <w:r w:rsidRPr="00C64465">
        <w:rPr>
          <w:rStyle w:val="FootnoteReference"/>
          <w:rFonts w:ascii="Arial" w:hAnsi="Arial" w:cs="Arial"/>
        </w:rPr>
        <w:footnoteRef/>
      </w:r>
      <w:r w:rsidRPr="00C64465">
        <w:rPr>
          <w:rFonts w:ascii="Arial" w:hAnsi="Arial" w:cs="Arial"/>
        </w:rPr>
        <w:t xml:space="preserve"> The National Physical Laboratory has produced an </w:t>
      </w:r>
      <w:hyperlink r:id="rId6" w:history="1">
        <w:r w:rsidRPr="00C64465">
          <w:rPr>
            <w:rStyle w:val="Hyperlink"/>
            <w:rFonts w:ascii="Arial" w:hAnsi="Arial" w:cs="Arial"/>
          </w:rPr>
          <w:t>introductory guide to uncertainty</w:t>
        </w:r>
      </w:hyperlink>
      <w:r w:rsidRPr="00C64465">
        <w:rPr>
          <w:rFonts w:ascii="Arial" w:hAnsi="Arial" w:cs="Arial"/>
        </w:rPr>
        <w:t xml:space="preserve">. </w:t>
      </w:r>
    </w:p>
    <w:p w:rsidR="0040731C" w:rsidRPr="006F60B0" w:rsidRDefault="0040731C" w:rsidP="00913351">
      <w:pPr>
        <w:pStyle w:val="FootnoteText"/>
      </w:pPr>
    </w:p>
  </w:footnote>
  <w:footnote w:id="11">
    <w:p w:rsidR="0040731C" w:rsidRPr="003652F4" w:rsidRDefault="0040731C" w:rsidP="00913351">
      <w:pPr>
        <w:pStyle w:val="FootnoteText"/>
      </w:pPr>
      <w:r>
        <w:rPr>
          <w:rStyle w:val="FootnoteReference"/>
        </w:rPr>
        <w:footnoteRef/>
      </w:r>
      <w:r>
        <w:t xml:space="preserve"> </w:t>
      </w:r>
      <w:r w:rsidRPr="003B722C">
        <w:rPr>
          <w:rFonts w:cs="Arial"/>
        </w:rPr>
        <w:t xml:space="preserve">For further practical advice on data collection at a corporate level, please refer to Chapter 6 of the </w:t>
      </w:r>
      <w:hyperlink r:id="rId7" w:history="1">
        <w:r w:rsidRPr="003B722C">
          <w:rPr>
            <w:rStyle w:val="Hyperlink"/>
            <w:rFonts w:cs="Arial"/>
          </w:rPr>
          <w:t>GHG Protocol: A Corporate Accounting and Reporting Standard</w:t>
        </w:r>
      </w:hyperlink>
      <w:r w:rsidRPr="003B722C">
        <w:rPr>
          <w:rFonts w:cs="Arial"/>
        </w:rPr>
        <w:t xml:space="preserve"> (Revised Edition) or Section 3 of the Institute of Environmental Management and Assessment (2005) </w:t>
      </w:r>
      <w:hyperlink r:id="rId8" w:history="1">
        <w:r w:rsidRPr="003B722C">
          <w:rPr>
            <w:rStyle w:val="Hyperlink"/>
            <w:rFonts w:cs="Arial"/>
          </w:rPr>
          <w:t>Environmental Data Management: for emissions trading and other purposes.</w:t>
        </w:r>
      </w:hyperlink>
    </w:p>
  </w:footnote>
  <w:footnote w:id="12">
    <w:p w:rsidR="0040731C" w:rsidRPr="00FF7E3F" w:rsidRDefault="0040731C" w:rsidP="00913351">
      <w:pPr>
        <w:pStyle w:val="FootnoteText"/>
      </w:pPr>
      <w:r w:rsidRPr="00FF7E3F">
        <w:rPr>
          <w:rStyle w:val="FootnoteReference"/>
        </w:rPr>
        <w:footnoteRef/>
      </w:r>
      <w:r w:rsidRPr="00FF7E3F">
        <w:t xml:space="preserve"> </w:t>
      </w:r>
      <w:hyperlink r:id="rId9" w:history="1">
        <w:r w:rsidRPr="00FF7E3F">
          <w:rPr>
            <w:rStyle w:val="Hyperlink"/>
          </w:rPr>
          <w:t>http://www.iema.net/ems</w:t>
        </w:r>
      </w:hyperlink>
      <w:r w:rsidRPr="00FF7E3F">
        <w:t xml:space="preserve"> for information on ISO 14001, EMAS and BS 8555</w:t>
      </w:r>
    </w:p>
  </w:footnote>
  <w:footnote w:id="13">
    <w:p w:rsidR="0040731C" w:rsidRPr="00FF7E3F" w:rsidRDefault="0040731C" w:rsidP="00913351">
      <w:r w:rsidRPr="00FF7E3F">
        <w:rPr>
          <w:rStyle w:val="FootnoteReference"/>
        </w:rPr>
        <w:footnoteRef/>
      </w:r>
      <w:r w:rsidRPr="00FF7E3F">
        <w:t xml:space="preserve"> </w:t>
      </w:r>
      <w:r w:rsidRPr="00FF7E3F">
        <w:rPr>
          <w:sz w:val="20"/>
        </w:rPr>
        <w:t xml:space="preserve">The implications of these different options are discussed in chapters 5 and 11 of the </w:t>
      </w:r>
      <w:hyperlink r:id="rId10" w:history="1">
        <w:r w:rsidRPr="002A2F2E">
          <w:rPr>
            <w:rStyle w:val="Hyperlink"/>
            <w:sz w:val="20"/>
          </w:rPr>
          <w:t>GHG Protocol Corporate Standard</w:t>
        </w:r>
      </w:hyperlink>
      <w:r w:rsidRPr="00FF7E3F">
        <w:rPr>
          <w:sz w:val="20"/>
        </w:rPr>
        <w:t xml:space="preserve"> and are applicable to other environmental impacts other than GHG emissions.</w:t>
      </w:r>
    </w:p>
    <w:p w:rsidR="0040731C" w:rsidRPr="00FF7E3F" w:rsidRDefault="0040731C" w:rsidP="00913351">
      <w:pPr>
        <w:pStyle w:val="FootnoteText"/>
      </w:pPr>
    </w:p>
  </w:footnote>
  <w:footnote w:id="14">
    <w:p w:rsidR="0040731C" w:rsidRDefault="0040731C"/>
    <w:p w:rsidR="0040731C" w:rsidRPr="00FF7E3F" w:rsidRDefault="0040731C" w:rsidP="00913351">
      <w:pPr>
        <w:pStyle w:val="FootnoteText"/>
        <w:rPr>
          <w:rFonts w:cs="Arial"/>
          <w:sz w:val="22"/>
          <w:szCs w:val="22"/>
        </w:rPr>
      </w:pPr>
    </w:p>
  </w:footnote>
  <w:footnote w:id="15">
    <w:p w:rsidR="0040731C" w:rsidRPr="00DB445C" w:rsidRDefault="0040731C" w:rsidP="00913351">
      <w:pPr>
        <w:pStyle w:val="FootnoteText"/>
      </w:pPr>
      <w:r w:rsidRPr="00DB445C">
        <w:rPr>
          <w:rStyle w:val="FootnoteReference"/>
        </w:rPr>
        <w:footnoteRef/>
      </w:r>
      <w:r w:rsidRPr="00DB445C">
        <w:t xml:space="preserve"> S496 Companies Act 2006 and ISA (UK and Ireland) 720 </w:t>
      </w:r>
      <w:proofErr w:type="gramStart"/>
      <w:r w:rsidRPr="00DB445C">
        <w:t>Section</w:t>
      </w:r>
      <w:proofErr w:type="gramEnd"/>
      <w:r w:rsidRPr="00DB445C">
        <w:t xml:space="preserve"> B.</w:t>
      </w:r>
    </w:p>
  </w:footnote>
  <w:footnote w:id="16">
    <w:p w:rsidR="0040731C" w:rsidRPr="00DB445C" w:rsidRDefault="0040731C" w:rsidP="00913351">
      <w:pPr>
        <w:pStyle w:val="FootnoteText"/>
      </w:pPr>
      <w:r w:rsidRPr="00DB445C">
        <w:rPr>
          <w:rStyle w:val="FootnoteReference"/>
        </w:rPr>
        <w:footnoteRef/>
      </w:r>
      <w:r w:rsidRPr="00DB445C">
        <w:t xml:space="preserve"> ISA (UK and Ireland) 720 </w:t>
      </w:r>
      <w:proofErr w:type="gramStart"/>
      <w:r w:rsidRPr="00DB445C">
        <w:t>Section</w:t>
      </w:r>
      <w:proofErr w:type="gramEnd"/>
      <w:r w:rsidRPr="00DB445C">
        <w:t xml:space="preserve"> A (Revised October 2012).</w:t>
      </w:r>
    </w:p>
  </w:footnote>
  <w:footnote w:id="17">
    <w:p w:rsidR="0040731C" w:rsidRPr="00FF7E3F" w:rsidRDefault="0040731C" w:rsidP="00913351">
      <w:pPr>
        <w:pStyle w:val="FootnoteText"/>
      </w:pPr>
      <w:r w:rsidRPr="00DB445C">
        <w:rPr>
          <w:rStyle w:val="FootnoteReference"/>
        </w:rPr>
        <w:footnoteRef/>
      </w:r>
      <w:r w:rsidRPr="00DB445C">
        <w:t xml:space="preserve"> ISA (UK and Ireland) 250 </w:t>
      </w:r>
      <w:proofErr w:type="gramStart"/>
      <w:r w:rsidRPr="00DB445C">
        <w:t>Section</w:t>
      </w:r>
      <w:proofErr w:type="gramEnd"/>
      <w:r w:rsidRPr="00DB445C">
        <w:t xml:space="preserve"> A.</w:t>
      </w:r>
    </w:p>
  </w:footnote>
  <w:footnote w:id="18">
    <w:p w:rsidR="0040731C" w:rsidRPr="00DB445C" w:rsidRDefault="0040731C" w:rsidP="00913351">
      <w:pPr>
        <w:pStyle w:val="FootnoteText"/>
      </w:pPr>
      <w:r w:rsidRPr="00DB445C">
        <w:rPr>
          <w:rStyle w:val="FootnoteReference"/>
        </w:rPr>
        <w:footnoteRef/>
      </w:r>
      <w:r w:rsidRPr="00DB445C">
        <w:t xml:space="preserve"> </w:t>
      </w:r>
      <w:r w:rsidRPr="00DB445C">
        <w:rPr>
          <w:rFonts w:cs="Arial"/>
        </w:rPr>
        <w:t>ICAEW &amp; Environment Agency (2009) Turning questions into answers: Environmental Issues and Annual Financial Reporting</w:t>
      </w:r>
    </w:p>
  </w:footnote>
  <w:footnote w:id="19">
    <w:p w:rsidR="0040731C" w:rsidRPr="009B39B2" w:rsidRDefault="0040731C" w:rsidP="00913351">
      <w:pPr>
        <w:pStyle w:val="FootnoteText"/>
      </w:pPr>
      <w:r w:rsidRPr="009B39B2">
        <w:rPr>
          <w:rStyle w:val="FootnoteReference"/>
        </w:rPr>
        <w:footnoteRef/>
      </w:r>
      <w:r w:rsidRPr="009B39B2">
        <w:t xml:space="preserve"> See Companies Act 2006 (Strategic Report and Directors’ Reports) Regulations 2013 </w:t>
      </w:r>
      <w:r>
        <w:t>paragraph 15(4)</w:t>
      </w:r>
      <w:r w:rsidRPr="009B39B2">
        <w:t>.</w:t>
      </w:r>
    </w:p>
  </w:footnote>
  <w:footnote w:id="20">
    <w:p w:rsidR="0040731C" w:rsidRDefault="0040731C" w:rsidP="00913351">
      <w:pPr>
        <w:pStyle w:val="FootnoteText"/>
      </w:pPr>
      <w:r w:rsidRPr="009B39B2">
        <w:rPr>
          <w:rStyle w:val="FootnoteReference"/>
        </w:rPr>
        <w:footnoteRef/>
      </w:r>
      <w:r w:rsidRPr="009B39B2">
        <w:t xml:space="preserve"> See Companies Act 2006 (Strategic Report and Directors’</w:t>
      </w:r>
      <w:r>
        <w:t xml:space="preserve"> Reports) Regulations 2013 paragraph 19.</w:t>
      </w:r>
    </w:p>
  </w:footnote>
  <w:footnote w:id="21">
    <w:p w:rsidR="0040731C" w:rsidRPr="00DB445C" w:rsidRDefault="0040731C" w:rsidP="00913351">
      <w:pPr>
        <w:pStyle w:val="FootnoteText"/>
        <w:rPr>
          <w:sz w:val="22"/>
          <w:szCs w:val="22"/>
        </w:rPr>
      </w:pPr>
      <w:r w:rsidRPr="00DB445C">
        <w:rPr>
          <w:rStyle w:val="FootnoteReference"/>
          <w:sz w:val="22"/>
          <w:szCs w:val="22"/>
        </w:rPr>
        <w:footnoteRef/>
      </w:r>
      <w:r w:rsidRPr="00DB445C">
        <w:rPr>
          <w:sz w:val="22"/>
          <w:szCs w:val="22"/>
        </w:rPr>
        <w:t xml:space="preserve"> </w:t>
      </w:r>
      <w:r w:rsidRPr="00DB445C">
        <w:t>Please note that t</w:t>
      </w:r>
      <w:r w:rsidRPr="00DB445C">
        <w:rPr>
          <w:rFonts w:cs="Arial"/>
        </w:rPr>
        <w:t>he term “operations” is used here as a generic term to denote any kind of business activity, irrespective of its organizational, governance, or legal structures.</w:t>
      </w:r>
    </w:p>
  </w:footnote>
  <w:footnote w:id="22">
    <w:p w:rsidR="0040731C" w:rsidRPr="006E2B03" w:rsidRDefault="0040731C" w:rsidP="00913351">
      <w:pPr>
        <w:pStyle w:val="FootnoteText"/>
      </w:pPr>
      <w:r w:rsidRPr="006E2B03">
        <w:rPr>
          <w:rStyle w:val="FootnoteReference"/>
        </w:rPr>
        <w:footnoteRef/>
      </w:r>
      <w:r w:rsidRPr="006E2B03">
        <w:t xml:space="preserve"> As defined in section 92 of the Climate Change Act 2008</w:t>
      </w:r>
    </w:p>
  </w:footnote>
  <w:footnote w:id="23">
    <w:p w:rsidR="0040731C" w:rsidRPr="006E2B03" w:rsidRDefault="0040731C" w:rsidP="00913351">
      <w:pPr>
        <w:pStyle w:val="FootnoteText"/>
      </w:pPr>
      <w:r w:rsidRPr="006E2B03">
        <w:rPr>
          <w:rStyle w:val="FootnoteReference"/>
        </w:rPr>
        <w:footnoteRef/>
      </w:r>
      <w:r w:rsidRPr="006E2B03">
        <w:t xml:space="preserve"> Tonnes or metric tons</w:t>
      </w:r>
    </w:p>
  </w:footnote>
  <w:footnote w:id="24">
    <w:p w:rsidR="0040731C" w:rsidRPr="006E2B03" w:rsidRDefault="0040731C" w:rsidP="00913351">
      <w:pPr>
        <w:pStyle w:val="FootnoteText"/>
      </w:pPr>
      <w:r w:rsidRPr="006E2B03">
        <w:rPr>
          <w:rStyle w:val="FootnoteReference"/>
        </w:rPr>
        <w:footnoteRef/>
      </w:r>
      <w:r w:rsidRPr="006E2B03">
        <w:rPr>
          <w:rStyle w:val="legds2"/>
          <w:rFonts w:cs="Arial"/>
          <w:specVanish w:val="0"/>
        </w:rPr>
        <w:t xml:space="preserve">The Climate Change Act 2008 says a </w:t>
      </w:r>
      <w:r w:rsidRPr="006E2B03">
        <w:rPr>
          <w:rStyle w:val="legterm"/>
          <w:rFonts w:cs="Arial"/>
        </w:rPr>
        <w:t>“tonne of carbon dioxide equivalent</w:t>
      </w:r>
      <w:r w:rsidRPr="006E2B03">
        <w:rPr>
          <w:rStyle w:val="legds2"/>
          <w:rFonts w:cs="Arial"/>
          <w:specVanish w:val="0"/>
        </w:rPr>
        <w:t xml:space="preserve"> means one metric tonne of carbon dioxide or an amount of any other greenhouse gas with an equivalent global warming potential (calculated consistently with international carbon reporting practice).”</w:t>
      </w:r>
      <w:r w:rsidRPr="006E2B03">
        <w:t xml:space="preserve"> </w:t>
      </w:r>
    </w:p>
  </w:footnote>
  <w:footnote w:id="25">
    <w:p w:rsidR="0040731C" w:rsidRDefault="0040731C" w:rsidP="00913351">
      <w:pPr>
        <w:pStyle w:val="FootnoteText"/>
      </w:pPr>
      <w:r w:rsidRPr="006E2B03">
        <w:rPr>
          <w:rStyle w:val="FootnoteReference"/>
        </w:rPr>
        <w:footnoteRef/>
      </w:r>
      <w:r w:rsidRPr="006E2B03">
        <w:t xml:space="preserve"> See Companies Act 2006 (Strategic Report and Directors’ Reports) Regulations 2013 paragraph 15(2).</w:t>
      </w:r>
    </w:p>
  </w:footnote>
  <w:footnote w:id="26">
    <w:p w:rsidR="0040731C" w:rsidRPr="00390236" w:rsidRDefault="0040731C" w:rsidP="00913351">
      <w:pPr>
        <w:pStyle w:val="FootnoteText"/>
      </w:pPr>
      <w:r w:rsidRPr="00390236">
        <w:rPr>
          <w:rStyle w:val="FootnoteReference"/>
        </w:rPr>
        <w:footnoteRef/>
      </w:r>
      <w:r w:rsidRPr="00390236">
        <w:t xml:space="preserve"> This list is taken from page 41 of the GHG Protocol Corporate Accounting and Reporting Standard.</w:t>
      </w:r>
    </w:p>
  </w:footnote>
  <w:footnote w:id="27">
    <w:p w:rsidR="0040731C" w:rsidRPr="00390236" w:rsidRDefault="0040731C" w:rsidP="00913351">
      <w:pPr>
        <w:pStyle w:val="FootnoteText"/>
      </w:pPr>
      <w:r w:rsidRPr="00390236">
        <w:rPr>
          <w:rStyle w:val="FootnoteReference"/>
        </w:rPr>
        <w:footnoteRef/>
      </w:r>
      <w:r w:rsidRPr="00390236">
        <w:t xml:space="preserve"> See Companies Act 2006 (Strategic Report and Directors’ Repo</w:t>
      </w:r>
      <w:r>
        <w:t>rts) Regulations 2013 paragraph 15(3).</w:t>
      </w:r>
    </w:p>
  </w:footnote>
  <w:footnote w:id="28">
    <w:p w:rsidR="0040731C" w:rsidRDefault="0040731C" w:rsidP="00913351">
      <w:pPr>
        <w:pStyle w:val="FootnoteText"/>
      </w:pPr>
      <w:r w:rsidRPr="00390236">
        <w:rPr>
          <w:rStyle w:val="FootnoteReference"/>
        </w:rPr>
        <w:footnoteRef/>
      </w:r>
      <w:r w:rsidRPr="00390236">
        <w:t xml:space="preserve">  </w:t>
      </w:r>
      <w:proofErr w:type="gramStart"/>
      <w:r w:rsidRPr="00390236">
        <w:t>Or heat, steam or cooling.</w:t>
      </w:r>
      <w:proofErr w:type="gramEnd"/>
    </w:p>
  </w:footnote>
  <w:footnote w:id="29">
    <w:p w:rsidR="0040731C" w:rsidRPr="00390236" w:rsidRDefault="0040731C" w:rsidP="00913351">
      <w:pPr>
        <w:pStyle w:val="FootnoteText"/>
      </w:pPr>
      <w:r>
        <w:rPr>
          <w:rStyle w:val="FootnoteReference"/>
        </w:rPr>
        <w:footnoteRef/>
      </w:r>
      <w:r>
        <w:t xml:space="preserve"> </w:t>
      </w:r>
      <w:r w:rsidRPr="00390236">
        <w:t xml:space="preserve">Electricity traders would not report the emissions from electricity that they bought for re-sale within this category, although they could report these emissions as a separate, optional information item. See </w:t>
      </w:r>
      <w:r>
        <w:t>the voluntary accounting and</w:t>
      </w:r>
      <w:r w:rsidRPr="00390236">
        <w:t xml:space="preserve"> reporting guidance for how to account for emissi</w:t>
      </w:r>
      <w:r>
        <w:t xml:space="preserve">ons associated with the use of </w:t>
      </w:r>
      <w:r w:rsidRPr="00390236">
        <w:t xml:space="preserve">electricity, heat, steam or cooling generated by another organisation, which you do not pay for. This is more likely to occur with heat where the generating organisation has surplus heat that it passes to another organisation rather than waste it. </w:t>
      </w:r>
    </w:p>
    <w:p w:rsidR="0040731C" w:rsidRPr="00390236" w:rsidRDefault="0040731C" w:rsidP="00913351">
      <w:pPr>
        <w:pStyle w:val="FootnoteText"/>
      </w:pPr>
    </w:p>
  </w:footnote>
  <w:footnote w:id="30">
    <w:p w:rsidR="0040731C" w:rsidRDefault="0040731C" w:rsidP="00913351">
      <w:pPr>
        <w:pStyle w:val="FootnoteText"/>
      </w:pPr>
      <w:r>
        <w:rPr>
          <w:rStyle w:val="FootnoteReference"/>
        </w:rPr>
        <w:footnoteRef/>
      </w:r>
      <w:r>
        <w:t xml:space="preserve"> </w:t>
      </w:r>
      <w:proofErr w:type="gramStart"/>
      <w:r>
        <w:t>Climate Change Reporting Framework – Edition 1.1 September 2012.</w:t>
      </w:r>
      <w:proofErr w:type="gramEnd"/>
      <w:r>
        <w:t xml:space="preserve">  </w:t>
      </w:r>
      <w:proofErr w:type="gramStart"/>
      <w:r>
        <w:t>Climate Disclosure Standards Board.</w:t>
      </w:r>
      <w:proofErr w:type="gramEnd"/>
    </w:p>
  </w:footnote>
  <w:footnote w:id="31">
    <w:p w:rsidR="0040731C" w:rsidRDefault="0040731C" w:rsidP="00913351">
      <w:pPr>
        <w:pStyle w:val="FootnoteText"/>
      </w:pPr>
      <w:r>
        <w:rPr>
          <w:rStyle w:val="FootnoteReference"/>
        </w:rPr>
        <w:footnoteRef/>
      </w:r>
      <w:r>
        <w:t xml:space="preserve"> </w:t>
      </w:r>
      <w:r>
        <w:rPr>
          <w:i/>
        </w:rPr>
        <w:t>ibid</w:t>
      </w:r>
    </w:p>
  </w:footnote>
  <w:footnote w:id="32">
    <w:p w:rsidR="0040731C" w:rsidRDefault="0040731C" w:rsidP="00913351">
      <w:pPr>
        <w:pStyle w:val="FootnoteText"/>
      </w:pPr>
      <w:r>
        <w:rPr>
          <w:rStyle w:val="FootnoteReference"/>
        </w:rPr>
        <w:footnoteRef/>
      </w:r>
      <w:r>
        <w:t xml:space="preserve"> See Companies Act 2006 (Strategic Report and Directors’ Reports) Regulations 2013 paragraph 15(4).</w:t>
      </w:r>
    </w:p>
  </w:footnote>
  <w:footnote w:id="33">
    <w:p w:rsidR="0040731C" w:rsidRDefault="0040731C" w:rsidP="00913351">
      <w:pPr>
        <w:autoSpaceDE w:val="0"/>
        <w:autoSpaceDN w:val="0"/>
        <w:adjustRightInd w:val="0"/>
        <w:spacing w:before="0" w:after="0" w:line="240" w:lineRule="auto"/>
      </w:pPr>
      <w:r>
        <w:rPr>
          <w:rStyle w:val="FootnoteReference"/>
        </w:rPr>
        <w:footnoteRef/>
      </w:r>
      <w:r>
        <w:t xml:space="preserve">  </w:t>
      </w:r>
      <w:hyperlink r:id="rId11" w:history="1">
        <w:r w:rsidRPr="003303FA">
          <w:rPr>
            <w:rStyle w:val="Hyperlink"/>
            <w:rFonts w:cs="HelveticaNeue-Medium"/>
            <w:bCs/>
            <w:sz w:val="20"/>
            <w:lang w:eastAsia="en-GB"/>
          </w:rPr>
          <w:t>Guidance for companies reporting on climate change on behalf of investors &amp; supply chain members 2013</w:t>
        </w:r>
        <w:r w:rsidRPr="003303FA">
          <w:rPr>
            <w:rStyle w:val="Hyperlink"/>
            <w:rFonts w:cs="HelveticaNeue-Medium"/>
            <w:b/>
            <w:bCs/>
            <w:sz w:val="20"/>
            <w:lang w:eastAsia="en-GB"/>
          </w:rPr>
          <w:t xml:space="preserve"> </w:t>
        </w:r>
        <w:r w:rsidRPr="003303FA">
          <w:rPr>
            <w:rStyle w:val="Hyperlink"/>
            <w:sz w:val="20"/>
          </w:rPr>
          <w:t>See Q7.2</w:t>
        </w:r>
      </w:hyperlink>
    </w:p>
  </w:footnote>
  <w:footnote w:id="34">
    <w:p w:rsidR="0040731C" w:rsidRDefault="0040731C" w:rsidP="00913351">
      <w:pPr>
        <w:autoSpaceDE w:val="0"/>
        <w:autoSpaceDN w:val="0"/>
        <w:adjustRightInd w:val="0"/>
      </w:pPr>
      <w:r>
        <w:rPr>
          <w:rStyle w:val="FootnoteReference"/>
        </w:rPr>
        <w:footnoteRef/>
      </w:r>
      <w:r>
        <w:t xml:space="preserve"> </w:t>
      </w:r>
      <w:r>
        <w:rPr>
          <w:rStyle w:val="st1"/>
          <w:rFonts w:cs="Arial"/>
          <w:bCs/>
          <w:color w:val="222222"/>
          <w:sz w:val="20"/>
        </w:rPr>
        <w:t>The International Petroleum Industry Environmental</w:t>
      </w:r>
      <w:r>
        <w:rPr>
          <w:rStyle w:val="st1"/>
          <w:rFonts w:cs="Arial"/>
          <w:color w:val="222222"/>
          <w:sz w:val="20"/>
        </w:rPr>
        <w:t xml:space="preserve"> </w:t>
      </w:r>
      <w:r>
        <w:rPr>
          <w:rFonts w:cs="Arial"/>
          <w:vanish/>
          <w:color w:val="222222"/>
          <w:sz w:val="20"/>
        </w:rPr>
        <w:br/>
      </w:r>
      <w:r>
        <w:rPr>
          <w:rStyle w:val="st1"/>
          <w:rFonts w:cs="Arial"/>
          <w:bCs/>
          <w:color w:val="222222"/>
          <w:sz w:val="20"/>
        </w:rPr>
        <w:t>Conservation Association</w:t>
      </w:r>
      <w:r>
        <w:rPr>
          <w:rStyle w:val="st1"/>
          <w:rFonts w:cs="Arial"/>
          <w:bCs/>
          <w:color w:val="222222"/>
        </w:rPr>
        <w:t xml:space="preserve"> </w:t>
      </w:r>
      <w:r>
        <w:rPr>
          <w:rStyle w:val="st1"/>
          <w:rFonts w:cs="Arial"/>
          <w:bCs/>
          <w:color w:val="222222"/>
          <w:sz w:val="20"/>
        </w:rPr>
        <w:t>(IPIECA)</w:t>
      </w:r>
      <w:r>
        <w:rPr>
          <w:rStyle w:val="st1"/>
          <w:rFonts w:cs="Arial"/>
          <w:b/>
          <w:bCs/>
          <w:color w:val="222222"/>
          <w:sz w:val="20"/>
        </w:rPr>
        <w:t xml:space="preserve"> “</w:t>
      </w:r>
      <w:r>
        <w:rPr>
          <w:rStyle w:val="st1"/>
          <w:rFonts w:cs="Arial"/>
          <w:color w:val="222222"/>
          <w:sz w:val="20"/>
        </w:rPr>
        <w:t>Petroleum industry guidelines for reporting greenhouse gas emissions”.</w:t>
      </w:r>
    </w:p>
  </w:footnote>
  <w:footnote w:id="35">
    <w:p w:rsidR="0040731C" w:rsidRDefault="0040731C" w:rsidP="00913351">
      <w:pPr>
        <w:pStyle w:val="FootnoteText"/>
      </w:pPr>
      <w:r>
        <w:rPr>
          <w:rStyle w:val="FootnoteReference"/>
        </w:rPr>
        <w:footnoteRef/>
      </w:r>
      <w:r>
        <w:t xml:space="preserve"> Methane and nitrous oxide are emitted in small amounts when fuel is combusted to generate electricity. Companies that have already calculated their emissions from purchased electricity using the CRC Energy Efficiency’s emission figures should decide whether emissions of these gases are material and therefore warrant recalculation.</w:t>
      </w:r>
    </w:p>
  </w:footnote>
  <w:footnote w:id="36">
    <w:p w:rsidR="0040731C" w:rsidRDefault="0040731C" w:rsidP="00913351">
      <w:pPr>
        <w:pStyle w:val="FootnoteText"/>
      </w:pPr>
      <w:r>
        <w:rPr>
          <w:rStyle w:val="FootnoteReference"/>
        </w:rPr>
        <w:footnoteRef/>
      </w:r>
      <w:r>
        <w:t xml:space="preserve"> See Companies Act 2006 (Strategic Report and Directors’ Reports) Regulations 2013 paragraph 16.</w:t>
      </w:r>
    </w:p>
  </w:footnote>
  <w:footnote w:id="37">
    <w:p w:rsidR="0040731C" w:rsidRDefault="0040731C" w:rsidP="00913351">
      <w:pPr>
        <w:pStyle w:val="FootnoteText"/>
      </w:pPr>
      <w:r>
        <w:rPr>
          <w:rStyle w:val="FootnoteReference"/>
        </w:rPr>
        <w:footnoteRef/>
      </w:r>
      <w:r>
        <w:t xml:space="preserve"> See Companies Act 2006 (Strategic Report and Directors’ Reports) Regulations 2013 paragraph 18.</w:t>
      </w:r>
    </w:p>
  </w:footnote>
  <w:footnote w:id="38">
    <w:p w:rsidR="0040731C" w:rsidRDefault="0040731C" w:rsidP="00913351">
      <w:pPr>
        <w:pStyle w:val="FootnoteText"/>
      </w:pPr>
      <w:r>
        <w:rPr>
          <w:rStyle w:val="FootnoteReference"/>
        </w:rPr>
        <w:footnoteRef/>
      </w:r>
      <w:r>
        <w:t xml:space="preserve"> See Companies Act 2006 (Strategic Report and Directors’ Reports) Regulations 2013 paragraph 17.</w:t>
      </w:r>
    </w:p>
  </w:footnote>
  <w:footnote w:id="39">
    <w:p w:rsidR="0040731C" w:rsidRDefault="0040731C" w:rsidP="00913351">
      <w:pPr>
        <w:pStyle w:val="FootnoteText"/>
      </w:pPr>
      <w:r>
        <w:rPr>
          <w:rStyle w:val="FootnoteReference"/>
        </w:rPr>
        <w:footnoteRef/>
      </w:r>
      <w:r>
        <w:t xml:space="preserve"> See Companies Act 2006 (Strategic Report and Directors’ Reports) Regulations 2013 paragraph 17.</w:t>
      </w:r>
    </w:p>
  </w:footnote>
  <w:footnote w:id="40">
    <w:p w:rsidR="0040731C" w:rsidRDefault="0040731C" w:rsidP="00913351">
      <w:pPr>
        <w:pStyle w:val="FootnoteText"/>
      </w:pPr>
      <w:r>
        <w:rPr>
          <w:rStyle w:val="FootnoteReference"/>
        </w:rPr>
        <w:footnoteRef/>
      </w:r>
      <w:r>
        <w:t xml:space="preserve"> S496 Companies Act 2006 and ISA (UK and Ireland) 720 </w:t>
      </w:r>
      <w:proofErr w:type="gramStart"/>
      <w:r>
        <w:t>Section</w:t>
      </w:r>
      <w:proofErr w:type="gramEnd"/>
      <w:r>
        <w:t xml:space="preserve"> B.</w:t>
      </w:r>
    </w:p>
  </w:footnote>
  <w:footnote w:id="41">
    <w:p w:rsidR="0040731C" w:rsidRDefault="0040731C" w:rsidP="00913351">
      <w:pPr>
        <w:pStyle w:val="FootnoteText"/>
      </w:pPr>
      <w:r>
        <w:rPr>
          <w:rStyle w:val="FootnoteReference"/>
        </w:rPr>
        <w:footnoteRef/>
      </w:r>
      <w:r>
        <w:t xml:space="preserve"> ISA (UK and Ireland) 720 </w:t>
      </w:r>
      <w:proofErr w:type="gramStart"/>
      <w:r>
        <w:t>Section</w:t>
      </w:r>
      <w:proofErr w:type="gramEnd"/>
      <w:r>
        <w:t xml:space="preserve"> A (Revised October 2012).</w:t>
      </w:r>
    </w:p>
  </w:footnote>
  <w:footnote w:id="42">
    <w:p w:rsidR="0040731C" w:rsidRDefault="0040731C" w:rsidP="00913351">
      <w:pPr>
        <w:pStyle w:val="FootnoteText"/>
      </w:pPr>
      <w:r>
        <w:rPr>
          <w:rStyle w:val="FootnoteReference"/>
        </w:rPr>
        <w:footnoteRef/>
      </w:r>
      <w:r>
        <w:t xml:space="preserve"> ISA (UK and Ireland) 250 </w:t>
      </w:r>
      <w:proofErr w:type="gramStart"/>
      <w:r>
        <w:t>Section</w:t>
      </w:r>
      <w:proofErr w:type="gramEnd"/>
      <w:r>
        <w:t xml:space="preserve"> A.</w:t>
      </w:r>
    </w:p>
  </w:footnote>
  <w:footnote w:id="43">
    <w:p w:rsidR="0040731C" w:rsidRDefault="0040731C" w:rsidP="00913351">
      <w:pPr>
        <w:pStyle w:val="FootnoteText"/>
      </w:pPr>
      <w:r>
        <w:rPr>
          <w:rStyle w:val="FootnoteReference"/>
        </w:rPr>
        <w:footnoteRef/>
      </w:r>
      <w:r>
        <w:t xml:space="preserve"> See Companies Act 2006 (Strategic Report and Directors’ Reports) Regulations 2013 paragraph 18.</w:t>
      </w:r>
    </w:p>
  </w:footnote>
  <w:footnote w:id="44">
    <w:p w:rsidR="0040731C" w:rsidRDefault="0040731C" w:rsidP="00913351">
      <w:pPr>
        <w:pStyle w:val="FootnoteText"/>
      </w:pPr>
      <w:r>
        <w:rPr>
          <w:rStyle w:val="FootnoteReference"/>
        </w:rPr>
        <w:footnoteRef/>
      </w:r>
      <w:r>
        <w:t xml:space="preserve"> A company may use electricity, heat, steam or cooling generated by another organisation, but does not pay for it. This is most likely to occur with heat where the generating organisation has surplus heat that it passes to another organisation rather than waste it. In these cases, the heat (or electricity, steam, cooling) should be treated as purchased for the purposes for GHG emissions accounting. This is aligned with the approach in the GHG Protocol Corporate Standard (page 25) and ISO 14064-1 (section 2.9).</w:t>
      </w:r>
    </w:p>
  </w:footnote>
  <w:footnote w:id="45">
    <w:p w:rsidR="0040731C" w:rsidRDefault="0040731C" w:rsidP="00913351">
      <w:pPr>
        <w:pStyle w:val="FootnoteText"/>
      </w:pPr>
      <w:r>
        <w:rPr>
          <w:rStyle w:val="FootnoteReference"/>
        </w:rPr>
        <w:footnoteRef/>
      </w:r>
      <w:r>
        <w:t xml:space="preserve"> This is electricity that was bought for your own consumption rather than electricity purchased to sell on to other organisations or individuals.</w:t>
      </w:r>
    </w:p>
  </w:footnote>
  <w:footnote w:id="46">
    <w:p w:rsidR="0040731C" w:rsidRPr="00F13028" w:rsidRDefault="0040731C" w:rsidP="00913351">
      <w:pPr>
        <w:pStyle w:val="FootnoteText"/>
        <w:jc w:val="both"/>
        <w:rPr>
          <w:rFonts w:cs="Arial"/>
        </w:rPr>
      </w:pPr>
      <w:r w:rsidRPr="00F13028">
        <w:rPr>
          <w:rStyle w:val="FootnoteReference"/>
          <w:rFonts w:cs="Arial"/>
        </w:rPr>
        <w:footnoteRef/>
      </w:r>
      <w:r w:rsidRPr="00F13028">
        <w:rPr>
          <w:rStyle w:val="FootnoteReference"/>
          <w:rFonts w:cs="Arial"/>
        </w:rPr>
        <w:t xml:space="preserve"> </w:t>
      </w:r>
      <w:r w:rsidRPr="00F13028">
        <w:rPr>
          <w:rFonts w:cs="Arial"/>
        </w:rPr>
        <w:t>Some organisations may have site specific emission factors which they should use if they will give a more accurate measurement of GHG emissions.</w:t>
      </w:r>
    </w:p>
  </w:footnote>
  <w:footnote w:id="47">
    <w:p w:rsidR="0040731C" w:rsidRDefault="0040731C"/>
    <w:p w:rsidR="0040731C" w:rsidRPr="007B7991" w:rsidRDefault="0040731C" w:rsidP="00913351">
      <w:pPr>
        <w:pStyle w:val="FootnoteText"/>
        <w:jc w:val="both"/>
        <w:rPr>
          <w:rFonts w:cs="Arial"/>
        </w:rPr>
      </w:pPr>
    </w:p>
  </w:footnote>
  <w:footnote w:id="48">
    <w:p w:rsidR="0040731C" w:rsidRDefault="0040731C">
      <w:pPr>
        <w:pStyle w:val="FootnoteText"/>
      </w:pPr>
      <w:r>
        <w:rPr>
          <w:rStyle w:val="FootnoteReference"/>
        </w:rPr>
        <w:footnoteRef/>
      </w:r>
      <w:r>
        <w:t xml:space="preserve"> </w:t>
      </w:r>
      <w:r w:rsidRPr="005251D8">
        <w:rPr>
          <w:rFonts w:cs="Arial"/>
          <w:szCs w:val="16"/>
          <w:lang w:eastAsia="en-GB"/>
        </w:rPr>
        <w:t>Credits purchased for EU ETS can be included.</w:t>
      </w:r>
    </w:p>
  </w:footnote>
  <w:footnote w:id="49">
    <w:p w:rsidR="0040731C" w:rsidRDefault="0040731C">
      <w:pPr>
        <w:pStyle w:val="FootnoteText"/>
      </w:pPr>
      <w:r>
        <w:rPr>
          <w:rStyle w:val="FootnoteReference"/>
        </w:rPr>
        <w:footnoteRef/>
      </w:r>
      <w:r>
        <w:t xml:space="preserve"> </w:t>
      </w:r>
      <w:r w:rsidRPr="006A6CE3">
        <w:rPr>
          <w:rFonts w:cs="Arial"/>
        </w:rPr>
        <w:t xml:space="preserve">Please note that if you are a </w:t>
      </w:r>
      <w:r w:rsidRPr="00525F34">
        <w:rPr>
          <w:rFonts w:cs="Arial"/>
        </w:rPr>
        <w:t>project developer</w:t>
      </w:r>
      <w:r w:rsidRPr="006A6CE3">
        <w:rPr>
          <w:rFonts w:cs="Arial"/>
        </w:rPr>
        <w:t xml:space="preserve"> of offsets</w:t>
      </w:r>
      <w:r>
        <w:rPr>
          <w:rFonts w:cs="Arial"/>
        </w:rPr>
        <w:t xml:space="preserve"> or credits</w:t>
      </w:r>
      <w:r w:rsidRPr="006A6CE3">
        <w:rPr>
          <w:rFonts w:cs="Arial"/>
        </w:rPr>
        <w:t xml:space="preserve">, you should </w:t>
      </w:r>
      <w:r>
        <w:rPr>
          <w:rFonts w:cs="Arial"/>
        </w:rPr>
        <w:t>make clear the quantity that you have sold. They should also feature in a net emissions figure and</w:t>
      </w:r>
      <w:r w:rsidRPr="006A6CE3">
        <w:rPr>
          <w:rFonts w:cs="Arial"/>
        </w:rPr>
        <w:t xml:space="preserve"> will lead to </w:t>
      </w:r>
      <w:r w:rsidRPr="00525F34">
        <w:rPr>
          <w:rFonts w:cs="Arial"/>
        </w:rPr>
        <w:t>your</w:t>
      </w:r>
      <w:r w:rsidRPr="006A6CE3">
        <w:rPr>
          <w:rFonts w:cs="Arial"/>
        </w:rPr>
        <w:t xml:space="preserve"> net emissions figure being higher than </w:t>
      </w:r>
      <w:r w:rsidRPr="00525F34">
        <w:rPr>
          <w:rFonts w:cs="Arial"/>
        </w:rPr>
        <w:t>your</w:t>
      </w:r>
      <w:r w:rsidRPr="006A6CE3">
        <w:rPr>
          <w:rFonts w:cs="Arial"/>
        </w:rPr>
        <w:t xml:space="preserve"> gross figure</w:t>
      </w:r>
      <w:r>
        <w:rPr>
          <w:rFonts w:cs="Arial"/>
        </w:rPr>
        <w:t>.</w:t>
      </w:r>
    </w:p>
  </w:footnote>
  <w:footnote w:id="50">
    <w:p w:rsidR="0040731C" w:rsidRDefault="0040731C">
      <w:pPr>
        <w:pStyle w:val="FootnoteText"/>
      </w:pPr>
      <w:r>
        <w:rPr>
          <w:rStyle w:val="FootnoteReference"/>
        </w:rPr>
        <w:footnoteRef/>
      </w:r>
      <w:r>
        <w:t xml:space="preserve"> Note that the format of the report in </w:t>
      </w:r>
      <w:hyperlink w:anchor="_Annex_H:_Example" w:history="1">
        <w:r w:rsidRPr="00CE0EA8">
          <w:rPr>
            <w:rStyle w:val="Hyperlink"/>
          </w:rPr>
          <w:t>Annex H</w:t>
        </w:r>
      </w:hyperlink>
      <w:r>
        <w:rPr>
          <w:rStyle w:val="Hyperlink"/>
        </w:rPr>
        <w:t xml:space="preserve"> </w:t>
      </w:r>
      <w:r>
        <w:t xml:space="preserve">differs from the example corporate report shown in the </w:t>
      </w:r>
      <w:hyperlink w:anchor="Chapter 2: Guidance on mandatory reporting requirements for quoted companies" w:history="1">
        <w:r w:rsidRPr="00C81A8D">
          <w:rPr>
            <w:rStyle w:val="Hyperlink"/>
          </w:rPr>
          <w:t>section on mandatory corporate reporting for quoted companies</w:t>
        </w:r>
      </w:hyperlink>
      <w:r>
        <w:t>, where there is no gross/net distinction</w:t>
      </w:r>
      <w:r>
        <w:rPr>
          <w:rStyle w:val="CommentReference"/>
        </w:rPr>
        <w:t/>
      </w:r>
      <w:r>
        <w:t>.</w:t>
      </w:r>
    </w:p>
  </w:footnote>
  <w:footnote w:id="51">
    <w:p w:rsidR="0040731C" w:rsidRDefault="0040731C">
      <w:pPr>
        <w:pStyle w:val="FootnoteText"/>
      </w:pPr>
      <w:r>
        <w:rPr>
          <w:rStyle w:val="FootnoteReference"/>
        </w:rPr>
        <w:footnoteRef/>
      </w:r>
      <w:r>
        <w:t xml:space="preserve"> </w:t>
      </w:r>
      <w:proofErr w:type="gramStart"/>
      <w:r>
        <w:t>Italicized to emphasise that it is the gross not net figure under discussion.</w:t>
      </w:r>
      <w:proofErr w:type="gramEnd"/>
    </w:p>
  </w:footnote>
  <w:footnote w:id="52">
    <w:p w:rsidR="0040731C" w:rsidRDefault="0040731C">
      <w:pPr>
        <w:pStyle w:val="FootnoteText"/>
      </w:pPr>
      <w:r>
        <w:rPr>
          <w:rStyle w:val="FootnoteReference"/>
        </w:rPr>
        <w:footnoteRef/>
      </w:r>
      <w:r>
        <w:t xml:space="preserve"> There may be instances when renewable electricity is supplied to the grid without REGOs. However, it is assumed that this is unlikely in the UK as renewable electricity has a higher value than non-renewable electricity.</w:t>
      </w:r>
    </w:p>
  </w:footnote>
  <w:footnote w:id="53">
    <w:p w:rsidR="0040731C" w:rsidRDefault="0040731C" w:rsidP="00BB1B11">
      <w:pPr>
        <w:pStyle w:val="FootnoteText"/>
      </w:pPr>
      <w:r>
        <w:rPr>
          <w:rStyle w:val="FootnoteReference"/>
        </w:rPr>
        <w:footnoteRef/>
      </w:r>
      <w:r>
        <w:t xml:space="preserve"> A residual mix reflects the generation sources that are left (residual) after the contracts for particular types of generation have been accounted for, and is a critical data source in ensuring complete and accurate allocation of emissions under a market-based method. </w:t>
      </w:r>
    </w:p>
    <w:p w:rsidR="0040731C" w:rsidRDefault="0040731C" w:rsidP="00BB1B11">
      <w:pPr>
        <w:pStyle w:val="FootnoteText"/>
      </w:pPr>
      <w:r>
        <w:t xml:space="preserve">The UK residual mix can be found in the </w:t>
      </w:r>
      <w:r w:rsidRPr="002B1436">
        <w:rPr>
          <w:rStyle w:val="Hyperlink"/>
        </w:rPr>
        <w:t>UK Fuel Mix Disclosure Data Table</w:t>
      </w:r>
      <w:r>
        <w:t xml:space="preserve">. The residual mix factor can be calculated by multiplying the fraction supplied by each generation method given in Paragraph 2 of this table by the official emission factor for that generation method given in Paragraph 3, and then totalling. An example is shown in the table in </w:t>
      </w:r>
      <w:hyperlink w:anchor="Annex G: Emission reduction actions" w:history="1">
        <w:r w:rsidRPr="00BB1B11">
          <w:rPr>
            <w:rStyle w:val="Hyperlink"/>
          </w:rPr>
          <w:t>Annex G</w:t>
        </w:r>
      </w:hyperlink>
      <w:r>
        <w:t>.</w:t>
      </w:r>
    </w:p>
  </w:footnote>
  <w:footnote w:id="54">
    <w:p w:rsidR="0040731C" w:rsidRDefault="0040731C">
      <w:pPr>
        <w:pStyle w:val="FootnoteText"/>
      </w:pPr>
      <w:r>
        <w:rPr>
          <w:rStyle w:val="FootnoteReference"/>
        </w:rPr>
        <w:footnoteRef/>
      </w:r>
      <w:r>
        <w:t xml:space="preserve"> See the section on organisational boundaries for definitions. </w:t>
      </w:r>
    </w:p>
  </w:footnote>
  <w:footnote w:id="55">
    <w:p w:rsidR="0040731C" w:rsidRDefault="0040731C">
      <w:pPr>
        <w:pStyle w:val="FootnoteText"/>
      </w:pPr>
      <w:r w:rsidRPr="002B1436">
        <w:rPr>
          <w:rStyle w:val="FootnoteReference"/>
          <w:highlight w:val="yellow"/>
        </w:rPr>
        <w:footnoteRef/>
      </w:r>
      <w:r w:rsidRPr="002B1436">
        <w:rPr>
          <w:highlight w:val="yellow"/>
        </w:rPr>
        <w:t xml:space="preserve"> The National Physical Laboratory (NPL) is developing a methodology for the verification of carbon savings of smart approaches, such as DSR. Once developed, this could potentially be used for the purposes outlined in this guidance. See pages 102-103 of this summary of projects: </w:t>
      </w:r>
      <w:hyperlink r:id="rId12" w:history="1">
        <w:r w:rsidRPr="002B1436">
          <w:rPr>
            <w:rStyle w:val="Hyperlink"/>
            <w:highlight w:val="yellow"/>
          </w:rPr>
          <w:t>http://www.bis.gov.uk/assets/nmo/docs/nms/ird-programme-document-public-release-april-2012.pdf</w:t>
        </w:r>
      </w:hyperlink>
    </w:p>
    <w:p w:rsidR="0040731C" w:rsidRDefault="0040731C">
      <w:pPr>
        <w:pStyle w:val="FootnoteText"/>
      </w:pPr>
    </w:p>
  </w:footnote>
  <w:footnote w:id="56">
    <w:p w:rsidR="0040731C" w:rsidRPr="008F3F7D" w:rsidRDefault="0040731C" w:rsidP="00913351">
      <w:pPr>
        <w:pStyle w:val="FootnoteText"/>
      </w:pPr>
      <w:r>
        <w:rPr>
          <w:rStyle w:val="FootnoteReference"/>
        </w:rPr>
        <w:footnoteRef/>
      </w:r>
      <w:r>
        <w:t xml:space="preserve"> </w:t>
      </w:r>
      <w:proofErr w:type="gramStart"/>
      <w:r>
        <w:rPr>
          <w:rFonts w:cs="Arial"/>
        </w:rPr>
        <w:t>based</w:t>
      </w:r>
      <w:proofErr w:type="gramEnd"/>
      <w:r>
        <w:rPr>
          <w:rFonts w:cs="Arial"/>
        </w:rPr>
        <w:t xml:space="preserve"> on the </w:t>
      </w:r>
      <w:hyperlink r:id="rId13" w:history="1">
        <w:r w:rsidRPr="009508E4">
          <w:rPr>
            <w:rStyle w:val="Hyperlink"/>
            <w:rFonts w:cs="Arial"/>
          </w:rPr>
          <w:t xml:space="preserve">GHG Protocol </w:t>
        </w:r>
        <w:r>
          <w:rPr>
            <w:rStyle w:val="Hyperlink"/>
            <w:rFonts w:cs="Arial"/>
          </w:rPr>
          <w:t>Corporate Value (Scope</w:t>
        </w:r>
        <w:r w:rsidRPr="009508E4">
          <w:rPr>
            <w:rStyle w:val="Hyperlink"/>
            <w:rFonts w:cs="Arial"/>
          </w:rPr>
          <w:t xml:space="preserve"> 3</w:t>
        </w:r>
        <w:r>
          <w:rPr>
            <w:rStyle w:val="Hyperlink"/>
            <w:rFonts w:cs="Arial"/>
          </w:rPr>
          <w:t>)</w:t>
        </w:r>
        <w:r w:rsidRPr="009508E4">
          <w:rPr>
            <w:rStyle w:val="Hyperlink"/>
            <w:rFonts w:cs="Arial"/>
          </w:rPr>
          <w:t xml:space="preserve"> Standard</w:t>
        </w:r>
      </w:hyperlink>
      <w:r>
        <w:rPr>
          <w:rFonts w:cs="Arial"/>
        </w:rPr>
        <w:t>.</w:t>
      </w:r>
    </w:p>
  </w:footnote>
  <w:footnote w:id="57">
    <w:p w:rsidR="0040731C" w:rsidRDefault="0040731C">
      <w:pPr>
        <w:pStyle w:val="FootnoteText"/>
      </w:pPr>
      <w:r>
        <w:rPr>
          <w:rStyle w:val="FootnoteReference"/>
        </w:rPr>
        <w:footnoteRef/>
      </w:r>
      <w:r>
        <w:t xml:space="preserve"> This information may be obtained from the REGO and the REGO investment report,</w:t>
      </w:r>
    </w:p>
  </w:footnote>
  <w:footnote w:id="58">
    <w:p w:rsidR="0040731C" w:rsidRDefault="0040731C" w:rsidP="00913351">
      <w:pPr>
        <w:pStyle w:val="FootnoteText"/>
      </w:pPr>
      <w:r>
        <w:rPr>
          <w:rStyle w:val="FootnoteReference"/>
        </w:rPr>
        <w:footnoteRef/>
      </w:r>
      <w:r>
        <w:t xml:space="preserve"> E.g. </w:t>
      </w:r>
      <w:proofErr w:type="spellStart"/>
      <w:r w:rsidRPr="00C96DD4">
        <w:rPr>
          <w:rFonts w:cs="Arial"/>
          <w:color w:val="000000"/>
          <w:szCs w:val="24"/>
        </w:rPr>
        <w:t>Courtauld</w:t>
      </w:r>
      <w:proofErr w:type="spellEnd"/>
      <w:r w:rsidRPr="00C96DD4">
        <w:rPr>
          <w:rFonts w:cs="Arial"/>
          <w:color w:val="000000"/>
          <w:szCs w:val="24"/>
        </w:rPr>
        <w:t xml:space="preserve"> Commitment, Sustainable Clothing Action Plan, Halving waste to Landfill</w:t>
      </w:r>
    </w:p>
  </w:footnote>
  <w:footnote w:id="59">
    <w:p w:rsidR="0040731C" w:rsidRDefault="0040731C" w:rsidP="00913351">
      <w:pPr>
        <w:pStyle w:val="FootnoteText"/>
      </w:pPr>
      <w:r>
        <w:rPr>
          <w:rStyle w:val="FootnoteReference"/>
        </w:rPr>
        <w:footnoteRef/>
      </w:r>
      <w:r>
        <w:t xml:space="preserve"> </w:t>
      </w:r>
      <w:r w:rsidRPr="00C96DD4">
        <w:rPr>
          <w:rFonts w:cs="Arial"/>
          <w:color w:val="000000"/>
          <w:szCs w:val="24"/>
        </w:rPr>
        <w:t>Waste in Electronic and Electrical Equipment</w:t>
      </w:r>
      <w:r>
        <w:rPr>
          <w:rFonts w:cs="Arial"/>
          <w:color w:val="000000"/>
          <w:szCs w:val="24"/>
        </w:rPr>
        <w:t xml:space="preserve"> Directive 2002/96/EC</w:t>
      </w:r>
    </w:p>
  </w:footnote>
  <w:footnote w:id="60">
    <w:p w:rsidR="0040731C" w:rsidRDefault="0040731C" w:rsidP="00913351">
      <w:pPr>
        <w:pStyle w:val="FootnoteText"/>
      </w:pPr>
      <w:r>
        <w:rPr>
          <w:rStyle w:val="FootnoteReference"/>
        </w:rPr>
        <w:footnoteRef/>
      </w:r>
      <w:r>
        <w:t xml:space="preserve"> </w:t>
      </w:r>
      <w:r w:rsidRPr="00DA172A">
        <w:rPr>
          <w:rFonts w:cs="Arial"/>
          <w:lang w:eastAsia="en-GB"/>
        </w:rPr>
        <w:t xml:space="preserve">These are: Antimony, </w:t>
      </w:r>
      <w:proofErr w:type="spellStart"/>
      <w:r w:rsidRPr="00DA172A">
        <w:rPr>
          <w:rFonts w:cs="Arial"/>
          <w:lang w:eastAsia="en-GB"/>
        </w:rPr>
        <w:t>be</w:t>
      </w:r>
      <w:r>
        <w:rPr>
          <w:rFonts w:cs="Arial"/>
          <w:lang w:eastAsia="en-GB"/>
        </w:rPr>
        <w:t>r</w:t>
      </w:r>
      <w:r w:rsidRPr="00DA172A">
        <w:rPr>
          <w:rFonts w:cs="Arial"/>
          <w:lang w:eastAsia="en-GB"/>
        </w:rPr>
        <w:t>ryillium</w:t>
      </w:r>
      <w:proofErr w:type="spellEnd"/>
      <w:r w:rsidRPr="00DA172A">
        <w:rPr>
          <w:rFonts w:cs="Arial"/>
          <w:lang w:eastAsia="en-GB"/>
        </w:rPr>
        <w:t xml:space="preserve">, cobalt, </w:t>
      </w:r>
      <w:r>
        <w:rPr>
          <w:rFonts w:cs="Arial"/>
          <w:lang w:eastAsia="en-GB"/>
        </w:rPr>
        <w:t xml:space="preserve">fluorspar, </w:t>
      </w:r>
      <w:r w:rsidRPr="00DA172A">
        <w:rPr>
          <w:rFonts w:cs="Arial"/>
          <w:lang w:eastAsia="en-GB"/>
        </w:rPr>
        <w:t xml:space="preserve">gallium, germanium, </w:t>
      </w:r>
      <w:r>
        <w:rPr>
          <w:rFonts w:cs="Arial"/>
          <w:lang w:eastAsia="en-GB"/>
        </w:rPr>
        <w:t xml:space="preserve">graphite, </w:t>
      </w:r>
      <w:r w:rsidRPr="00DA172A">
        <w:rPr>
          <w:rFonts w:cs="Arial"/>
          <w:lang w:eastAsia="en-GB"/>
        </w:rPr>
        <w:t xml:space="preserve">indium, magnesium, </w:t>
      </w:r>
      <w:r>
        <w:rPr>
          <w:rFonts w:cs="Arial"/>
          <w:lang w:eastAsia="en-GB"/>
        </w:rPr>
        <w:t xml:space="preserve">niobium, </w:t>
      </w:r>
      <w:r w:rsidRPr="00DA172A">
        <w:rPr>
          <w:rFonts w:cs="Arial"/>
          <w:lang w:eastAsia="en-GB"/>
        </w:rPr>
        <w:t>platinum group metal</w:t>
      </w:r>
      <w:r>
        <w:rPr>
          <w:rFonts w:cs="Arial"/>
          <w:lang w:eastAsia="en-GB"/>
        </w:rPr>
        <w:t>s</w:t>
      </w:r>
      <w:r w:rsidRPr="00DA172A">
        <w:rPr>
          <w:rFonts w:cs="Arial"/>
          <w:lang w:eastAsia="en-GB"/>
        </w:rPr>
        <w:t xml:space="preserve"> (PGM), rare earth elements (REE), tantalum</w:t>
      </w:r>
      <w:r>
        <w:rPr>
          <w:rFonts w:cs="Arial"/>
          <w:lang w:eastAsia="en-GB"/>
        </w:rPr>
        <w:t xml:space="preserve">, </w:t>
      </w:r>
      <w:r w:rsidRPr="00DA172A">
        <w:rPr>
          <w:rFonts w:cs="Arial"/>
          <w:lang w:eastAsia="en-GB"/>
        </w:rPr>
        <w:t xml:space="preserve">and tungsten.  </w:t>
      </w:r>
    </w:p>
  </w:footnote>
  <w:footnote w:id="61">
    <w:p w:rsidR="0040731C" w:rsidRDefault="0040731C" w:rsidP="00913351">
      <w:pPr>
        <w:pStyle w:val="FootnoteText"/>
      </w:pPr>
      <w:r>
        <w:rPr>
          <w:rStyle w:val="FootnoteReference"/>
        </w:rPr>
        <w:footnoteRef/>
      </w:r>
      <w:hyperlink r:id="rId14" w:history="1">
        <w:r w:rsidRPr="002D679C">
          <w:rPr>
            <w:rStyle w:val="Hyperlink"/>
          </w:rPr>
          <w:t>https://www.gov.uk/government/uploads/system/uploads/attachment_data/file/69511/pb13719-resource-security-action-plan.pdf</w:t>
        </w:r>
      </w:hyperlink>
      <w:r>
        <w:t xml:space="preserve"> </w:t>
      </w:r>
    </w:p>
  </w:footnote>
  <w:footnote w:id="62">
    <w:p w:rsidR="0040731C" w:rsidRDefault="0040731C" w:rsidP="00913351">
      <w:pPr>
        <w:pStyle w:val="FootnoteText"/>
      </w:pPr>
      <w:r>
        <w:rPr>
          <w:rStyle w:val="FootnoteReference"/>
        </w:rPr>
        <w:footnoteRef/>
      </w:r>
      <w:r>
        <w:t xml:space="preserve"> </w:t>
      </w:r>
      <w:hyperlink r:id="rId15" w:history="1">
        <w:r w:rsidRPr="002D679C">
          <w:rPr>
            <w:rStyle w:val="Hyperlink"/>
          </w:rPr>
          <w:t>http://www.wrap.org.uk</w:t>
        </w:r>
      </w:hyperlink>
      <w:r>
        <w:t xml:space="preserve"> </w:t>
      </w:r>
    </w:p>
  </w:footnote>
  <w:footnote w:id="63">
    <w:p w:rsidR="0040731C" w:rsidRDefault="0040731C" w:rsidP="00913351">
      <w:pPr>
        <w:pStyle w:val="FootnoteText"/>
      </w:pPr>
      <w:r>
        <w:rPr>
          <w:rStyle w:val="FootnoteReference"/>
        </w:rPr>
        <w:footnoteRef/>
      </w:r>
      <w:r>
        <w:t xml:space="preserve"> </w:t>
      </w:r>
      <w:r w:rsidRPr="00126709">
        <w:t>http://www.zerowastescotland.org.uk/</w:t>
      </w:r>
    </w:p>
  </w:footnote>
  <w:footnote w:id="64">
    <w:p w:rsidR="0040731C" w:rsidRDefault="0040731C" w:rsidP="00913351">
      <w:pPr>
        <w:pStyle w:val="FootnoteText"/>
      </w:pPr>
      <w:r>
        <w:rPr>
          <w:rStyle w:val="FootnoteReference"/>
        </w:rPr>
        <w:footnoteRef/>
      </w:r>
      <w:r>
        <w:t xml:space="preserve"> </w:t>
      </w:r>
      <w:hyperlink r:id="rId16" w:history="1">
        <w:r w:rsidRPr="006124D7">
          <w:rPr>
            <w:rStyle w:val="Hyperlink"/>
          </w:rPr>
          <w:t>http://www.bis.gov.uk/files/file46535.pdf</w:t>
        </w:r>
      </w:hyperlink>
      <w:r>
        <w:t xml:space="preserve"> </w:t>
      </w:r>
    </w:p>
  </w:footnote>
  <w:footnote w:id="65">
    <w:p w:rsidR="0040731C" w:rsidRDefault="0040731C" w:rsidP="00913351">
      <w:pPr>
        <w:pStyle w:val="FootnoteText"/>
      </w:pPr>
      <w:r>
        <w:rPr>
          <w:rStyle w:val="FootnoteReference"/>
        </w:rPr>
        <w:footnoteRef/>
      </w:r>
      <w:r>
        <w:t xml:space="preserve"> </w:t>
      </w:r>
      <w:hyperlink r:id="rId17" w:history="1">
        <w:r w:rsidRPr="006124D7">
          <w:rPr>
            <w:rStyle w:val="Hyperlink"/>
          </w:rPr>
          <w:t>http://www.cpet.org.uk/</w:t>
        </w:r>
      </w:hyperlink>
      <w:r>
        <w:t xml:space="preserve"> </w:t>
      </w:r>
    </w:p>
  </w:footnote>
  <w:footnote w:id="66">
    <w:p w:rsidR="0040731C" w:rsidRDefault="0040731C" w:rsidP="00913351">
      <w:pPr>
        <w:pStyle w:val="FootnoteText"/>
      </w:pPr>
      <w:r>
        <w:rPr>
          <w:rStyle w:val="FootnoteReference"/>
        </w:rPr>
        <w:footnoteRef/>
      </w:r>
      <w:r>
        <w:t xml:space="preserve"> </w:t>
      </w:r>
      <w:hyperlink r:id="rId18" w:history="1">
        <w:r w:rsidRPr="002D679C">
          <w:rPr>
            <w:rStyle w:val="Hyperlink"/>
          </w:rPr>
          <w:t>https://www.gov.uk/government/policies/protecting-and-enhancing-our-urban-and-natural-environment-to-improve-public-health-and-wellbeing</w:t>
        </w:r>
      </w:hyperlink>
      <w:r>
        <w:t xml:space="preserve"> </w:t>
      </w:r>
    </w:p>
  </w:footnote>
  <w:footnote w:id="67">
    <w:p w:rsidR="0040731C" w:rsidRDefault="0040731C" w:rsidP="00913351">
      <w:pPr>
        <w:pStyle w:val="FootnoteText"/>
      </w:pPr>
      <w:r>
        <w:rPr>
          <w:rStyle w:val="FootnoteReference"/>
        </w:rPr>
        <w:footnoteRef/>
      </w:r>
      <w:r>
        <w:t xml:space="preserve"> </w:t>
      </w:r>
      <w:hyperlink r:id="rId19" w:history="1">
        <w:r w:rsidRPr="002D679C">
          <w:rPr>
            <w:rStyle w:val="Hyperlink"/>
          </w:rPr>
          <w:t>http://www.environment-agency.gov.uk/static/documents/Business/eprtr_guidance_doc_1426519.pdf</w:t>
        </w:r>
      </w:hyperlink>
      <w:r>
        <w:t xml:space="preserve"> </w:t>
      </w:r>
    </w:p>
  </w:footnote>
  <w:footnote w:id="68">
    <w:p w:rsidR="0040731C" w:rsidRPr="00B93250" w:rsidRDefault="0040731C" w:rsidP="00913351">
      <w:pPr>
        <w:pStyle w:val="FootnoteText"/>
        <w:rPr>
          <w:sz w:val="18"/>
          <w:szCs w:val="18"/>
        </w:rPr>
      </w:pPr>
      <w:r w:rsidRPr="00B93250">
        <w:rPr>
          <w:rStyle w:val="FootnoteReference"/>
          <w:sz w:val="18"/>
          <w:szCs w:val="18"/>
        </w:rPr>
        <w:footnoteRef/>
      </w:r>
      <w:r w:rsidRPr="00B93250">
        <w:rPr>
          <w:sz w:val="18"/>
          <w:szCs w:val="18"/>
        </w:rPr>
        <w:t xml:space="preserve"> </w:t>
      </w:r>
      <w:hyperlink r:id="rId20" w:history="1">
        <w:r w:rsidRPr="002D679C">
          <w:rPr>
            <w:rStyle w:val="Hyperlink"/>
            <w:sz w:val="18"/>
            <w:szCs w:val="18"/>
          </w:rPr>
          <w:t>http://www.environment-agency.gov.uk/static/documents/Business/The_REPI_Metrics_and_Guidance.pdf</w:t>
        </w:r>
      </w:hyperlink>
      <w:r>
        <w:rPr>
          <w:sz w:val="18"/>
          <w:szCs w:val="18"/>
        </w:rPr>
        <w:t xml:space="preserve"> </w:t>
      </w:r>
    </w:p>
  </w:footnote>
  <w:footnote w:id="69">
    <w:p w:rsidR="0040731C" w:rsidRDefault="0040731C" w:rsidP="00913351">
      <w:pPr>
        <w:pStyle w:val="FootnoteText"/>
      </w:pPr>
      <w:r>
        <w:rPr>
          <w:rStyle w:val="FootnoteReference"/>
        </w:rPr>
        <w:footnoteRef/>
      </w:r>
      <w:r>
        <w:t xml:space="preserve"> </w:t>
      </w:r>
      <w:hyperlink r:id="rId21" w:history="1">
        <w:r w:rsidRPr="002D679C">
          <w:rPr>
            <w:rStyle w:val="Hyperlink"/>
          </w:rPr>
          <w:t>http://www.cefas.defra.gov.uk/industry-information/offshore-chemical-notification-scheme.aspx</w:t>
        </w:r>
      </w:hyperlink>
      <w:r>
        <w:t xml:space="preserve"> </w:t>
      </w:r>
    </w:p>
  </w:footnote>
  <w:footnote w:id="70">
    <w:p w:rsidR="0040731C" w:rsidRDefault="0040731C" w:rsidP="00913351">
      <w:pPr>
        <w:pStyle w:val="FootnoteText"/>
      </w:pPr>
      <w:r>
        <w:rPr>
          <w:rStyle w:val="FootnoteReference"/>
        </w:rPr>
        <w:footnoteRef/>
      </w:r>
      <w:r>
        <w:t xml:space="preserve"> </w:t>
      </w:r>
      <w:hyperlink r:id="rId22" w:history="1">
        <w:r w:rsidRPr="006124D7">
          <w:rPr>
            <w:rStyle w:val="Hyperlink"/>
          </w:rPr>
          <w:t>http://www.fta.co.uk/policy_and_compliance/environment/vehicle_emissions.html</w:t>
        </w:r>
      </w:hyperlink>
      <w:r>
        <w:t xml:space="preserve"> </w:t>
      </w:r>
    </w:p>
  </w:footnote>
  <w:footnote w:id="71">
    <w:p w:rsidR="0040731C" w:rsidRPr="0051647D" w:rsidRDefault="0040731C" w:rsidP="00913351">
      <w:pPr>
        <w:pStyle w:val="FootnoteText"/>
        <w:rPr>
          <w:rFonts w:cs="Arial"/>
          <w:sz w:val="18"/>
          <w:szCs w:val="18"/>
        </w:rPr>
      </w:pPr>
      <w:r w:rsidRPr="0051647D">
        <w:rPr>
          <w:rStyle w:val="FootnoteReference"/>
          <w:rFonts w:cs="Arial"/>
        </w:rPr>
        <w:footnoteRef/>
      </w:r>
      <w:r w:rsidRPr="0051647D">
        <w:rPr>
          <w:rFonts w:cs="Arial"/>
          <w:sz w:val="18"/>
          <w:szCs w:val="18"/>
        </w:rPr>
        <w:t xml:space="preserve"> UK National Ecosystem Assessment, 2011, </w:t>
      </w:r>
      <w:hyperlink r:id="rId23" w:history="1">
        <w:r w:rsidRPr="002D679C">
          <w:rPr>
            <w:rStyle w:val="Hyperlink"/>
            <w:rFonts w:cs="Arial"/>
            <w:sz w:val="18"/>
            <w:szCs w:val="18"/>
          </w:rPr>
          <w:t>http://archive.defra.gov.uk/environment/natural/documents/UKNEA_SynthesisReport.pdf</w:t>
        </w:r>
      </w:hyperlink>
      <w:r>
        <w:rPr>
          <w:rFonts w:cs="Arial"/>
          <w:sz w:val="18"/>
          <w:szCs w:val="18"/>
        </w:rPr>
        <w:t xml:space="preserve"> </w:t>
      </w:r>
    </w:p>
  </w:footnote>
  <w:footnote w:id="72">
    <w:p w:rsidR="0040731C" w:rsidRDefault="0040731C" w:rsidP="00913351">
      <w:pPr>
        <w:pStyle w:val="FootnoteText"/>
      </w:pPr>
      <w:r>
        <w:rPr>
          <w:rStyle w:val="FootnoteReference"/>
        </w:rPr>
        <w:footnoteRef/>
      </w:r>
      <w:r>
        <w:t xml:space="preserve"> </w:t>
      </w:r>
      <w:hyperlink r:id="rId24" w:history="1">
        <w:r w:rsidRPr="002D679C">
          <w:rPr>
            <w:rStyle w:val="Hyperlink"/>
          </w:rPr>
          <w:t>http://www.teebweb.org/</w:t>
        </w:r>
      </w:hyperlink>
      <w:r>
        <w:t xml:space="preserve"> </w:t>
      </w:r>
    </w:p>
  </w:footnote>
  <w:footnote w:id="73">
    <w:p w:rsidR="0040731C" w:rsidRPr="0051647D" w:rsidRDefault="0040731C" w:rsidP="00913351">
      <w:pPr>
        <w:pStyle w:val="FootnoteText"/>
        <w:rPr>
          <w:rFonts w:cs="Arial"/>
          <w:sz w:val="18"/>
          <w:szCs w:val="18"/>
        </w:rPr>
      </w:pPr>
      <w:r w:rsidRPr="0051647D">
        <w:rPr>
          <w:rStyle w:val="FootnoteReference"/>
          <w:rFonts w:cs="Arial"/>
        </w:rPr>
        <w:footnoteRef/>
      </w:r>
      <w:r w:rsidRPr="0051647D">
        <w:rPr>
          <w:rFonts w:cs="Arial"/>
          <w:sz w:val="18"/>
          <w:szCs w:val="18"/>
        </w:rPr>
        <w:t xml:space="preserve"> </w:t>
      </w:r>
      <w:hyperlink r:id="rId25" w:history="1">
        <w:r w:rsidRPr="002D679C">
          <w:rPr>
            <w:rStyle w:val="Hyperlink"/>
            <w:rFonts w:cs="Arial"/>
            <w:sz w:val="18"/>
            <w:szCs w:val="18"/>
          </w:rPr>
          <w:t>http://www.esindicators.org/indicator_details/1776</w:t>
        </w:r>
      </w:hyperlink>
      <w:r>
        <w:rPr>
          <w:rFonts w:cs="Arial"/>
          <w:color w:val="000000"/>
          <w:sz w:val="18"/>
          <w:szCs w:val="18"/>
          <w:u w:val="single"/>
        </w:rPr>
        <w:t xml:space="preserve"> </w:t>
      </w:r>
    </w:p>
  </w:footnote>
  <w:footnote w:id="74">
    <w:p w:rsidR="0040731C" w:rsidRPr="0051647D" w:rsidRDefault="0040731C" w:rsidP="00913351">
      <w:pPr>
        <w:pStyle w:val="FootnoteText"/>
        <w:rPr>
          <w:rFonts w:cs="Arial"/>
          <w:sz w:val="18"/>
          <w:szCs w:val="18"/>
        </w:rPr>
      </w:pPr>
      <w:r w:rsidRPr="0051647D">
        <w:rPr>
          <w:rStyle w:val="FootnoteReference"/>
          <w:rFonts w:cs="Arial"/>
        </w:rPr>
        <w:footnoteRef/>
      </w:r>
      <w:r w:rsidRPr="0051647D">
        <w:rPr>
          <w:rFonts w:cs="Arial"/>
          <w:sz w:val="18"/>
          <w:szCs w:val="18"/>
        </w:rPr>
        <w:t xml:space="preserve"> </w:t>
      </w:r>
      <w:hyperlink r:id="rId26" w:history="1">
        <w:r w:rsidRPr="0051647D">
          <w:rPr>
            <w:rStyle w:val="Hyperlink"/>
            <w:rFonts w:cs="Arial"/>
            <w:sz w:val="18"/>
            <w:szCs w:val="18"/>
          </w:rPr>
          <w:t>WBCSD CEV</w:t>
        </w:r>
      </w:hyperlink>
      <w:r w:rsidRPr="0051647D">
        <w:rPr>
          <w:rFonts w:cs="Arial"/>
          <w:sz w:val="18"/>
          <w:szCs w:val="18"/>
        </w:rPr>
        <w:t xml:space="preserve"> </w:t>
      </w:r>
      <w:hyperlink r:id="rId27" w:history="1">
        <w:r w:rsidRPr="009E4403">
          <w:rPr>
            <w:rStyle w:val="Hyperlink"/>
            <w:rFonts w:cs="Arial"/>
            <w:sz w:val="18"/>
            <w:szCs w:val="18"/>
          </w:rPr>
          <w:t>MIMES</w:t>
        </w:r>
      </w:hyperlink>
      <w:r w:rsidRPr="0051647D">
        <w:rPr>
          <w:rFonts w:cs="Arial"/>
          <w:sz w:val="18"/>
          <w:szCs w:val="18"/>
        </w:rPr>
        <w:t xml:space="preserve"> </w:t>
      </w:r>
      <w:hyperlink r:id="rId28" w:history="1">
        <w:proofErr w:type="spellStart"/>
        <w:r w:rsidRPr="0051647D">
          <w:rPr>
            <w:rStyle w:val="Hyperlink"/>
            <w:rFonts w:cs="Arial"/>
            <w:sz w:val="18"/>
            <w:szCs w:val="18"/>
          </w:rPr>
          <w:t>inVEST</w:t>
        </w:r>
        <w:proofErr w:type="spellEnd"/>
      </w:hyperlink>
      <w:r w:rsidRPr="0051647D">
        <w:rPr>
          <w:rFonts w:cs="Arial"/>
          <w:sz w:val="18"/>
          <w:szCs w:val="18"/>
        </w:rPr>
        <w:t xml:space="preserve">, </w:t>
      </w:r>
      <w:hyperlink r:id="rId29" w:history="1">
        <w:r w:rsidRPr="0051647D">
          <w:rPr>
            <w:rStyle w:val="Hyperlink"/>
            <w:rFonts w:cs="Arial"/>
            <w:sz w:val="18"/>
            <w:szCs w:val="18"/>
          </w:rPr>
          <w:t>ARIES</w:t>
        </w:r>
      </w:hyperlink>
      <w:r w:rsidRPr="0051647D">
        <w:rPr>
          <w:rFonts w:cs="Arial"/>
          <w:sz w:val="18"/>
          <w:szCs w:val="18"/>
        </w:rPr>
        <w:t xml:space="preserve"> </w:t>
      </w:r>
      <w:hyperlink r:id="rId30" w:history="1">
        <w:r w:rsidRPr="0051647D">
          <w:rPr>
            <w:rStyle w:val="Hyperlink"/>
            <w:rFonts w:cs="Arial"/>
            <w:sz w:val="18"/>
            <w:szCs w:val="18"/>
          </w:rPr>
          <w:t>IBAT</w:t>
        </w:r>
      </w:hyperlink>
      <w:r w:rsidRPr="0051647D">
        <w:rPr>
          <w:rFonts w:cs="Arial"/>
          <w:sz w:val="18"/>
          <w:szCs w:val="18"/>
        </w:rPr>
        <w:t xml:space="preserve"> Integrated Biodiversity Assessment Tool, </w:t>
      </w:r>
      <w:hyperlink r:id="rId31" w:history="1">
        <w:r w:rsidRPr="0051647D">
          <w:rPr>
            <w:rStyle w:val="Hyperlink"/>
            <w:rFonts w:cs="Arial"/>
            <w:sz w:val="18"/>
            <w:szCs w:val="18"/>
          </w:rPr>
          <w:t>Natural Value Initiative</w:t>
        </w:r>
      </w:hyperlink>
      <w:r w:rsidRPr="0051647D">
        <w:rPr>
          <w:rFonts w:cs="Arial"/>
          <w:sz w:val="18"/>
          <w:szCs w:val="18"/>
        </w:rPr>
        <w:t xml:space="preserve"> Environmental Impact Assessments (EIA), roundtables and standards, biodiversity offsets, NGO partnerships, investor questionnaires such as SAM (Sustainable Asset Management) and CDP </w:t>
      </w:r>
    </w:p>
    <w:p w:rsidR="0040731C" w:rsidRPr="0051647D" w:rsidRDefault="0040731C" w:rsidP="00913351">
      <w:pPr>
        <w:pStyle w:val="FootnoteText"/>
        <w:rPr>
          <w:rFonts w:cs="Arial"/>
          <w:sz w:val="18"/>
          <w:szCs w:val="18"/>
        </w:rPr>
      </w:pPr>
    </w:p>
  </w:footnote>
  <w:footnote w:id="75">
    <w:p w:rsidR="0040731C" w:rsidRPr="0051647D" w:rsidRDefault="0040731C" w:rsidP="00913351">
      <w:pPr>
        <w:pStyle w:val="FootnoteText"/>
        <w:rPr>
          <w:rFonts w:cs="Arial"/>
          <w:sz w:val="18"/>
          <w:szCs w:val="18"/>
        </w:rPr>
      </w:pPr>
      <w:r w:rsidRPr="0051647D">
        <w:rPr>
          <w:rStyle w:val="FootnoteReference"/>
          <w:rFonts w:cs="Arial"/>
        </w:rPr>
        <w:footnoteRef/>
      </w:r>
      <w:r w:rsidRPr="0051647D">
        <w:rPr>
          <w:rFonts w:cs="Arial"/>
          <w:sz w:val="18"/>
          <w:szCs w:val="18"/>
        </w:rPr>
        <w:t xml:space="preserve"> </w:t>
      </w:r>
      <w:hyperlink r:id="rId32" w:history="1">
        <w:r w:rsidRPr="002D679C">
          <w:rPr>
            <w:rStyle w:val="Hyperlink"/>
            <w:rFonts w:cs="Arial"/>
            <w:sz w:val="18"/>
            <w:szCs w:val="18"/>
          </w:rPr>
          <w:t>http://www.iso.org/iso/home/standards/management-standards/iso14000.htm</w:t>
        </w:r>
      </w:hyperlink>
      <w:r>
        <w:rPr>
          <w:rFonts w:cs="Arial"/>
          <w:sz w:val="18"/>
          <w:szCs w:val="18"/>
        </w:rPr>
        <w:t xml:space="preserve"> </w:t>
      </w:r>
    </w:p>
  </w:footnote>
  <w:footnote w:id="76">
    <w:p w:rsidR="0040731C" w:rsidRPr="0051647D" w:rsidRDefault="0040731C" w:rsidP="00913351">
      <w:pPr>
        <w:pStyle w:val="FootnoteText"/>
        <w:rPr>
          <w:rFonts w:cs="Arial"/>
          <w:sz w:val="18"/>
          <w:szCs w:val="18"/>
        </w:rPr>
      </w:pPr>
      <w:r w:rsidRPr="0051647D">
        <w:rPr>
          <w:rStyle w:val="FootnoteReference"/>
          <w:rFonts w:cs="Arial"/>
        </w:rPr>
        <w:footnoteRef/>
      </w:r>
      <w:r w:rsidRPr="0051647D">
        <w:rPr>
          <w:rFonts w:cs="Arial"/>
          <w:sz w:val="18"/>
          <w:szCs w:val="18"/>
        </w:rPr>
        <w:t xml:space="preserve"> </w:t>
      </w:r>
      <w:hyperlink r:id="rId33" w:history="1">
        <w:r w:rsidRPr="002D679C">
          <w:rPr>
            <w:rStyle w:val="Hyperlink"/>
            <w:rFonts w:cs="Arial"/>
            <w:sz w:val="18"/>
            <w:szCs w:val="18"/>
          </w:rPr>
          <w:t>http://www.business-biodiversity.eu/global/download/%7BEWONBFPFXE-10312011145629-QVBVDVTBVX%7D.pdf</w:t>
        </w:r>
      </w:hyperlink>
      <w:r>
        <w:rPr>
          <w:rFonts w:cs="Arial"/>
          <w:sz w:val="18"/>
          <w:szCs w:val="18"/>
        </w:rPr>
        <w:t xml:space="preserve"> </w:t>
      </w:r>
    </w:p>
  </w:footnote>
  <w:footnote w:id="77">
    <w:p w:rsidR="0040731C" w:rsidRDefault="0040731C" w:rsidP="00913351">
      <w:pPr>
        <w:pStyle w:val="FootnoteText"/>
      </w:pPr>
      <w:r w:rsidRPr="0051647D">
        <w:rPr>
          <w:rStyle w:val="FootnoteReference"/>
          <w:rFonts w:cs="Arial"/>
        </w:rPr>
        <w:footnoteRef/>
      </w:r>
      <w:r w:rsidRPr="0051647D">
        <w:rPr>
          <w:rFonts w:cs="Arial"/>
          <w:sz w:val="18"/>
          <w:szCs w:val="18"/>
        </w:rPr>
        <w:t xml:space="preserve"> </w:t>
      </w:r>
      <w:hyperlink r:id="rId34" w:history="1">
        <w:r w:rsidRPr="006124D7">
          <w:rPr>
            <w:rStyle w:val="Hyperlink"/>
            <w:rFonts w:cs="Arial"/>
            <w:sz w:val="18"/>
            <w:szCs w:val="18"/>
          </w:rPr>
          <w:t>http://publications.naturalengland.org.uk/publication/50008</w:t>
        </w:r>
      </w:hyperlink>
      <w:r>
        <w:rPr>
          <w:rFonts w:cs="Arial"/>
          <w:sz w:val="18"/>
          <w:szCs w:val="18"/>
        </w:rPr>
        <w:t xml:space="preserve"> </w:t>
      </w:r>
    </w:p>
  </w:footnote>
  <w:footnote w:id="78">
    <w:p w:rsidR="0040731C" w:rsidRPr="00384F6D" w:rsidRDefault="0040731C" w:rsidP="00913351">
      <w:pPr>
        <w:pStyle w:val="FootnoteText"/>
      </w:pPr>
      <w:r>
        <w:rPr>
          <w:rStyle w:val="FootnoteReference"/>
        </w:rPr>
        <w:footnoteRef/>
      </w:r>
      <w:r>
        <w:t xml:space="preserve"> </w:t>
      </w:r>
      <w:r>
        <w:rPr>
          <w:sz w:val="22"/>
          <w:szCs w:val="22"/>
        </w:rPr>
        <w:t>IFRS 11:16 &amp; Appendix A</w:t>
      </w:r>
    </w:p>
  </w:footnote>
  <w:footnote w:id="79">
    <w:p w:rsidR="0040731C" w:rsidRPr="00384F6D" w:rsidRDefault="0040731C" w:rsidP="00913351">
      <w:pPr>
        <w:pStyle w:val="FootnoteText"/>
      </w:pPr>
      <w:r>
        <w:rPr>
          <w:rStyle w:val="FootnoteReference"/>
        </w:rPr>
        <w:footnoteRef/>
      </w:r>
      <w:r>
        <w:t xml:space="preserve"> </w:t>
      </w:r>
      <w:r>
        <w:rPr>
          <w:sz w:val="22"/>
          <w:szCs w:val="22"/>
        </w:rPr>
        <w:t>IFRS 11:15 &amp; Appendix A </w:t>
      </w:r>
    </w:p>
  </w:footnote>
  <w:footnote w:id="80">
    <w:p w:rsidR="0040731C" w:rsidRPr="006C7F1B" w:rsidRDefault="0040731C" w:rsidP="00913351">
      <w:pPr>
        <w:pStyle w:val="FootnoteText"/>
      </w:pPr>
      <w:r>
        <w:rPr>
          <w:rStyle w:val="FootnoteReference"/>
        </w:rPr>
        <w:footnoteRef/>
      </w:r>
      <w:r>
        <w:t xml:space="preserve"> </w:t>
      </w:r>
      <w:proofErr w:type="gramStart"/>
      <w:r w:rsidRPr="006C7F1B">
        <w:t>For use of limestone in Flue Gas Desulphurisation (FGD) and processes such as those in the glass industry.</w:t>
      </w:r>
      <w:proofErr w:type="gramEnd"/>
      <w:r w:rsidRPr="006C7F1B">
        <w:t xml:space="preserve"> Not all uses of limestone release CO2.</w:t>
      </w:r>
    </w:p>
  </w:footnote>
  <w:footnote w:id="81">
    <w:p w:rsidR="0040731C" w:rsidRPr="006C7F1B" w:rsidRDefault="0040731C" w:rsidP="00913351">
      <w:pPr>
        <w:pStyle w:val="FootnoteText"/>
      </w:pPr>
      <w:r>
        <w:rPr>
          <w:rStyle w:val="FootnoteReference"/>
        </w:rPr>
        <w:footnoteRef/>
      </w:r>
      <w:r>
        <w:t xml:space="preserve"> </w:t>
      </w:r>
      <w:r w:rsidRPr="006C7F1B">
        <w:t xml:space="preserve">This is specific to </w:t>
      </w:r>
      <w:proofErr w:type="spellStart"/>
      <w:r w:rsidRPr="006C7F1B">
        <w:t>Fletton</w:t>
      </w:r>
      <w:proofErr w:type="spellEnd"/>
      <w:r w:rsidRPr="006C7F1B">
        <w:t xml:space="preserve"> brick manufacture at the mineral processing stage, a process that uses clay with high organic content. Other types of brick manufacturing in the UK do not release Greenhouse Gases during the processing stage.</w:t>
      </w:r>
    </w:p>
  </w:footnote>
  <w:footnote w:id="82">
    <w:p w:rsidR="0040731C" w:rsidRPr="00BE20DE" w:rsidRDefault="0040731C" w:rsidP="00913351">
      <w:pPr>
        <w:pStyle w:val="FootnoteText"/>
      </w:pPr>
      <w:r>
        <w:rPr>
          <w:rStyle w:val="FootnoteReference"/>
        </w:rPr>
        <w:footnoteRef/>
      </w:r>
      <w:r>
        <w:t xml:space="preserve"> See the latest UK Government Conversion Factors </w:t>
      </w:r>
      <w:hyperlink r:id="rId35" w:history="1">
        <w:r w:rsidRPr="002D679C">
          <w:rPr>
            <w:rStyle w:val="Hyperlink"/>
          </w:rPr>
          <w:t>https://www.gov.uk/measuring-and-reporting-environmental-impacts-guidance-for-businesses</w:t>
        </w:r>
      </w:hyperlink>
      <w:r>
        <w:t xml:space="preserve"> </w:t>
      </w:r>
    </w:p>
  </w:footnote>
  <w:footnote w:id="83">
    <w:p w:rsidR="0040731C" w:rsidRPr="007B7991" w:rsidRDefault="0040731C" w:rsidP="00913351">
      <w:pPr>
        <w:pStyle w:val="FootnoteText"/>
        <w:jc w:val="both"/>
        <w:rPr>
          <w:rFonts w:cs="Arial"/>
        </w:rPr>
      </w:pPr>
      <w:r w:rsidRPr="007B7991">
        <w:rPr>
          <w:rStyle w:val="FootnoteReference"/>
          <w:rFonts w:cs="Arial"/>
        </w:rPr>
        <w:footnoteRef/>
      </w:r>
      <w:r w:rsidRPr="007B7991">
        <w:rPr>
          <w:rFonts w:cs="Arial"/>
        </w:rPr>
        <w:t xml:space="preserve"> A number of these intensity ratios have been sourced from </w:t>
      </w:r>
      <w:r>
        <w:rPr>
          <w:rFonts w:cs="Arial"/>
        </w:rPr>
        <w:t>CDP.</w:t>
      </w:r>
    </w:p>
  </w:footnote>
  <w:footnote w:id="84">
    <w:p w:rsidR="0040731C" w:rsidRPr="006D075D" w:rsidRDefault="0040731C" w:rsidP="00913351">
      <w:pPr>
        <w:pStyle w:val="FootnoteText"/>
      </w:pPr>
      <w:r>
        <w:rPr>
          <w:rStyle w:val="FootnoteReference"/>
        </w:rPr>
        <w:footnoteRef/>
      </w:r>
      <w:r>
        <w:t xml:space="preserve"> The registry of these units will be operational from 1 July 2013.</w:t>
      </w:r>
    </w:p>
  </w:footnote>
  <w:footnote w:id="85">
    <w:p w:rsidR="0040731C" w:rsidRPr="00487650" w:rsidRDefault="0040731C" w:rsidP="00913351">
      <w:pPr>
        <w:pStyle w:val="FootnoteText"/>
      </w:pPr>
      <w:r>
        <w:rPr>
          <w:rStyle w:val="FootnoteReference"/>
        </w:rPr>
        <w:footnoteRef/>
      </w:r>
      <w:r>
        <w:t xml:space="preserve"> </w:t>
      </w:r>
      <w:hyperlink r:id="rId36" w:history="1">
        <w:r w:rsidRPr="002D679C">
          <w:rPr>
            <w:rStyle w:val="Hyperlink"/>
          </w:rPr>
          <w:t>http://www.forestry.gov.uk/carboncode</w:t>
        </w:r>
      </w:hyperlink>
      <w:r>
        <w:t xml:space="preserve"> </w:t>
      </w:r>
    </w:p>
  </w:footnote>
  <w:footnote w:id="86">
    <w:p w:rsidR="0040731C" w:rsidRDefault="0040731C" w:rsidP="005B214E">
      <w:pPr>
        <w:pStyle w:val="FootnoteText"/>
      </w:pPr>
      <w:r>
        <w:rPr>
          <w:rStyle w:val="FootnoteReference"/>
        </w:rPr>
        <w:footnoteRef/>
      </w:r>
      <w:r>
        <w:t xml:space="preserve"> </w:t>
      </w:r>
      <w:r w:rsidRPr="002B1436">
        <w:rPr>
          <w:rFonts w:cs="Arial"/>
          <w:iCs/>
        </w:rPr>
        <w:t xml:space="preserve">Our guidance on reporting emissions for renewable electricity differs from </w:t>
      </w:r>
      <w:proofErr w:type="spellStart"/>
      <w:r w:rsidRPr="002B1436">
        <w:rPr>
          <w:rFonts w:cs="Arial"/>
          <w:iCs/>
        </w:rPr>
        <w:t>Ofgem’s</w:t>
      </w:r>
      <w:proofErr w:type="spellEnd"/>
      <w:r w:rsidRPr="002B1436">
        <w:rPr>
          <w:rFonts w:cs="Arial"/>
          <w:iCs/>
        </w:rPr>
        <w:t xml:space="preserve"> voluntary guidance for how suppliers should communicate the carbon content of their green tariffs to domestic and very small businesses. This is the case because </w:t>
      </w:r>
      <w:proofErr w:type="spellStart"/>
      <w:r w:rsidRPr="002B1436">
        <w:rPr>
          <w:rFonts w:cs="Arial"/>
          <w:iCs/>
        </w:rPr>
        <w:t>Ofgem’s</w:t>
      </w:r>
      <w:proofErr w:type="spellEnd"/>
      <w:r w:rsidRPr="002B1436">
        <w:rPr>
          <w:rFonts w:cs="Arial"/>
          <w:iCs/>
        </w:rPr>
        <w:t xml:space="preserve"> guidance aims to ensure consumers have a</w:t>
      </w:r>
      <w:r w:rsidRPr="00C36E71">
        <w:rPr>
          <w:rFonts w:cs="Arial"/>
          <w:iCs/>
        </w:rPr>
        <w:t xml:space="preserve"> greater degree of certainty over the environmental impact of their purchase.</w:t>
      </w:r>
    </w:p>
  </w:footnote>
  <w:footnote w:id="87">
    <w:p w:rsidR="008F408B" w:rsidRDefault="008F408B" w:rsidP="008F408B">
      <w:pPr>
        <w:pStyle w:val="FootnoteText"/>
      </w:pPr>
      <w:r w:rsidRPr="000D50BF">
        <w:rPr>
          <w:rStyle w:val="FootnoteReference"/>
          <w:highlight w:val="yellow"/>
        </w:rPr>
        <w:footnoteRef/>
      </w:r>
      <w:r w:rsidRPr="000D50BF">
        <w:rPr>
          <w:highlight w:val="yellow"/>
        </w:rPr>
        <w:t xml:space="preserve"> Please note the units used in this table. Grams and kilowatt hours are used here, because these are the units used in the </w:t>
      </w:r>
      <w:hyperlink r:id="rId37" w:history="1">
        <w:r w:rsidRPr="000D50BF">
          <w:rPr>
            <w:rStyle w:val="Hyperlink"/>
            <w:szCs w:val="24"/>
            <w:highlight w:val="yellow"/>
          </w:rPr>
          <w:t>UK Fuel Mix Disclosure Data Table</w:t>
        </w:r>
      </w:hyperlink>
      <w:r w:rsidRPr="000D50BF">
        <w:rPr>
          <w:highlight w:val="yellow"/>
        </w:rPr>
        <w:t/>
      </w:r>
      <w:r w:rsidRPr="000D50BF">
        <w:rPr>
          <w:highlight w:val="yellow"/>
        </w:rPr>
        <w:t>.  Remember to use appropriate conversion factors if reporting in other units.</w:t>
      </w:r>
      <w:r>
        <w:t xml:space="preserve"> </w:t>
      </w:r>
    </w:p>
  </w:footnote>
  <w:footnote w:id="88">
    <w:p w:rsidR="0040731C" w:rsidRPr="00E86E49" w:rsidRDefault="0040731C" w:rsidP="00913351">
      <w:pPr>
        <w:pStyle w:val="FootnoteText"/>
      </w:pPr>
      <w:r>
        <w:rPr>
          <w:rStyle w:val="FootnoteReference"/>
        </w:rPr>
        <w:footnoteRef/>
      </w:r>
      <w:r>
        <w:t xml:space="preserve"> This date is in the future to allow for inclusion of Woodland Carbon Units in the example report. The WCU registry came into operation </w:t>
      </w:r>
      <w:proofErr w:type="gramStart"/>
      <w:r>
        <w:t>in  2013</w:t>
      </w:r>
      <w:proofErr w:type="gramEnd"/>
      <w:r>
        <w:t>.</w:t>
      </w:r>
    </w:p>
  </w:footnote>
  <w:footnote w:id="89">
    <w:p w:rsidR="0040731C" w:rsidRDefault="0040731C">
      <w:pPr>
        <w:pStyle w:val="FootnoteText"/>
      </w:pPr>
      <w:r>
        <w:rPr>
          <w:rStyle w:val="FootnoteReference"/>
        </w:rPr>
        <w:footnoteRef/>
      </w:r>
      <w:r>
        <w:t xml:space="preserve"> Location-based Scope 2 emissions </w:t>
      </w:r>
    </w:p>
  </w:footnote>
  <w:footnote w:id="90">
    <w:p w:rsidR="0040731C" w:rsidRDefault="0040731C" w:rsidP="00913351">
      <w:pPr>
        <w:pStyle w:val="FootnoteText"/>
      </w:pPr>
      <w:r>
        <w:rPr>
          <w:rStyle w:val="FootnoteReference"/>
        </w:rPr>
        <w:footnoteRef/>
      </w:r>
      <w:r>
        <w:t xml:space="preserve"> If you were conforming to the GHG Protocol Corporate Value Chain (Scope 3) Accounting and Reporting Standard emissions would either be quantified or a justification given for their exclusion based on their relevance. However, it is recognised that most companies are not yet at the stage of being able to estimate emissions for all categories.</w:t>
      </w:r>
    </w:p>
  </w:footnote>
  <w:footnote w:id="91">
    <w:p w:rsidR="0040731C" w:rsidRPr="00BA59AE" w:rsidRDefault="0040731C" w:rsidP="00913351">
      <w:pPr>
        <w:pStyle w:val="FootnoteText"/>
      </w:pPr>
      <w:r w:rsidRPr="00BA59AE">
        <w:rPr>
          <w:rStyle w:val="FootnoteReference"/>
        </w:rPr>
        <w:footnoteRef/>
      </w:r>
      <w:r w:rsidRPr="00BA59AE">
        <w:t xml:space="preserve"> </w:t>
      </w:r>
      <w:r w:rsidRPr="00BA59AE">
        <w:rPr>
          <w:rFonts w:cs="Arial"/>
        </w:rPr>
        <w:t>I</w:t>
      </w:r>
      <w:r w:rsidRPr="00BA59AE">
        <w:rPr>
          <w:rFonts w:cs="Arial"/>
          <w:bCs/>
          <w:color w:val="000000"/>
        </w:rPr>
        <w:t>f the reporting company is an initial sponsor or lender of a project, also a</w:t>
      </w:r>
      <w:r w:rsidRPr="00BA59AE">
        <w:rPr>
          <w:rFonts w:cs="Arial"/>
          <w:bCs/>
        </w:rPr>
        <w:t>ccount for the projected lifetime emissions of relevant projects financed during the reporting year and report those emissions separately from scope 3.</w:t>
      </w:r>
    </w:p>
  </w:footnote>
  <w:footnote w:id="92">
    <w:p w:rsidR="0040731C" w:rsidRDefault="0040731C">
      <w:pPr>
        <w:pStyle w:val="FootnoteText"/>
      </w:pPr>
      <w:r>
        <w:rPr>
          <w:rStyle w:val="FootnoteReference"/>
        </w:rPr>
        <w:footnoteRef/>
      </w:r>
      <w:r>
        <w:t xml:space="preserve"> N.B. Red colour of this text is simply for illustration purposes. Coloured figures correspond to those in Box 1, below, which demonstrates how this gross emission figure was calculated.</w:t>
      </w:r>
    </w:p>
  </w:footnote>
  <w:footnote w:id="93">
    <w:p w:rsidR="0040731C" w:rsidRDefault="0040731C">
      <w:pPr>
        <w:pStyle w:val="FootnoteText"/>
      </w:pPr>
      <w:r>
        <w:rPr>
          <w:rStyle w:val="FootnoteReference"/>
        </w:rPr>
        <w:footnoteRef/>
      </w:r>
      <w:r>
        <w:t xml:space="preserve"> The calculation of this figure is shown in the bottom line of </w:t>
      </w:r>
      <w:r>
        <w:fldChar w:fldCharType="begin"/>
      </w:r>
      <w:r>
        <w:instrText xml:space="preserve"> REF _Ref380505162 \h </w:instrText>
      </w:r>
      <w:r>
        <w:fldChar w:fldCharType="separate"/>
      </w:r>
      <w:r>
        <w:t xml:space="preserve">Table </w:t>
      </w:r>
      <w:r>
        <w:rPr>
          <w:noProof/>
        </w:rPr>
        <w:t>7</w:t>
      </w:r>
      <w:r>
        <w:fldChar w:fldCharType="end"/>
      </w:r>
      <w:r>
        <w:t>, below. The figure is coloured green in both tables.</w:t>
      </w:r>
    </w:p>
  </w:footnote>
  <w:footnote w:id="94">
    <w:p w:rsidR="0040731C" w:rsidRDefault="0040731C" w:rsidP="00680B4A">
      <w:pPr>
        <w:pStyle w:val="FootnoteText"/>
      </w:pPr>
      <w:r>
        <w:rPr>
          <w:rStyle w:val="FootnoteReference"/>
        </w:rPr>
        <w:footnoteRef/>
      </w:r>
      <w:r>
        <w:t xml:space="preserve"> This line is optional. If organisations wish, they may make deductions from their gross figures due to avoided emissions estimates from any of exported renewable energy, purchased renewable energy, purchased grid-injected </w:t>
      </w:r>
      <w:proofErr w:type="spellStart"/>
      <w:r>
        <w:t>biomethane</w:t>
      </w:r>
      <w:proofErr w:type="spellEnd"/>
      <w:r>
        <w:t>, retired offsets and Woodland Carbon Units in order to produce net figures.</w:t>
      </w:r>
    </w:p>
    <w:p w:rsidR="0040731C" w:rsidRDefault="0040731C" w:rsidP="00680B4A">
      <w:pPr>
        <w:pStyle w:val="FootnoteText"/>
      </w:pPr>
    </w:p>
  </w:footnote>
  <w:footnote w:id="95">
    <w:p w:rsidR="0040731C" w:rsidRDefault="0040731C" w:rsidP="005813B0">
      <w:pPr>
        <w:pStyle w:val="FootnoteText"/>
      </w:pPr>
      <w:r>
        <w:rPr>
          <w:rStyle w:val="FootnoteReference"/>
        </w:rPr>
        <w:footnoteRef/>
      </w:r>
      <w:r>
        <w:t xml:space="preserve"> </w:t>
      </w:r>
      <w:proofErr w:type="gramStart"/>
      <w:r>
        <w:t xml:space="preserve">Calculated by subtracting purchased renewable electricity from the gross purchased electricity in </w:t>
      </w:r>
      <w:proofErr w:type="spellStart"/>
      <w:r>
        <w:t>MWh</w:t>
      </w:r>
      <w:proofErr w:type="spellEnd"/>
      <w:r>
        <w:t>.</w:t>
      </w:r>
      <w:proofErr w:type="gramEnd"/>
    </w:p>
  </w:footnote>
  <w:footnote w:id="96">
    <w:p w:rsidR="0040731C" w:rsidRDefault="0040731C" w:rsidP="003F7294">
      <w:pPr>
        <w:pStyle w:val="FootnoteText"/>
      </w:pPr>
      <w:r>
        <w:rPr>
          <w:rStyle w:val="FootnoteReference"/>
        </w:rPr>
        <w:footnoteRef/>
      </w:r>
      <w:r>
        <w:t xml:space="preserve"> </w:t>
      </w:r>
      <w:proofErr w:type="gramStart"/>
      <w:r>
        <w:t>Grid-average emissions factors available from electricity supplier.</w:t>
      </w:r>
      <w:proofErr w:type="gramEnd"/>
    </w:p>
  </w:footnote>
  <w:footnote w:id="97">
    <w:p w:rsidR="0040731C" w:rsidRDefault="0040731C" w:rsidP="003F7294">
      <w:pPr>
        <w:pStyle w:val="FootnoteText"/>
      </w:pPr>
      <w:r>
        <w:rPr>
          <w:rStyle w:val="FootnoteReference"/>
        </w:rPr>
        <w:footnoteRef/>
      </w:r>
      <w:r>
        <w:t xml:space="preserve"> </w:t>
      </w:r>
      <w:proofErr w:type="gramStart"/>
      <w:r>
        <w:t>Renewable emissions factors available from electricity supplier.</w:t>
      </w:r>
      <w:proofErr w:type="gramEnd"/>
    </w:p>
  </w:footnote>
  <w:footnote w:id="98">
    <w:p w:rsidR="0040731C" w:rsidRDefault="0040731C" w:rsidP="003F7294">
      <w:pPr>
        <w:pStyle w:val="FootnoteText"/>
      </w:pPr>
      <w:r>
        <w:rPr>
          <w:rStyle w:val="FootnoteReference"/>
        </w:rPr>
        <w:footnoteRef/>
      </w:r>
      <w:r>
        <w:t xml:space="preserve"> UK Residual mix factor calculated from </w:t>
      </w:r>
      <w:hyperlink r:id="rId38" w:history="1">
        <w:r>
          <w:rPr>
            <w:rStyle w:val="Hyperlink"/>
            <w:szCs w:val="24"/>
          </w:rPr>
          <w:t>UK Fuel Mix Disclosure Data Table</w:t>
        </w:r>
      </w:hyperlink>
      <w:r w:rsidRPr="00C76B98">
        <w:t/>
      </w:r>
      <w:r>
        <w:t xml:space="preserve"> following the method shown in </w:t>
      </w:r>
      <w:r>
        <w:fldChar w:fldCharType="begin"/>
      </w:r>
      <w:r>
        <w:instrText xml:space="preserve"> REF _Ref380503131 \h </w:instrText>
      </w:r>
      <w:r>
        <w:fldChar w:fldCharType="separate"/>
      </w:r>
      <w:r>
        <w:t xml:space="preserve">Table </w:t>
      </w:r>
      <w:r>
        <w:rPr>
          <w:noProof/>
        </w:rPr>
        <w:t>1</w:t>
      </w:r>
      <w:r>
        <w:fldChar w:fldCharType="end"/>
      </w:r>
      <w:r>
        <w:t xml:space="preserve"> on p. </w:t>
      </w:r>
      <w:r>
        <w:fldChar w:fldCharType="begin"/>
      </w:r>
      <w:r>
        <w:instrText xml:space="preserve"> PAGEREF _Ref380504307 \h </w:instrText>
      </w:r>
      <w:r>
        <w:fldChar w:fldCharType="separate"/>
      </w:r>
      <w:r>
        <w:rPr>
          <w:noProof/>
        </w:rPr>
        <w:t>104</w:t>
      </w:r>
      <w:r>
        <w:fldChar w:fldCharType="end"/>
      </w:r>
      <w:r>
        <w:t>. Residual mix factors for other countries should be calculated following location-specific methodology, which should be described here.</w:t>
      </w:r>
    </w:p>
  </w:footnote>
  <w:footnote w:id="99">
    <w:p w:rsidR="0040731C" w:rsidRDefault="0040731C" w:rsidP="003F7294">
      <w:pPr>
        <w:pStyle w:val="FootnoteText"/>
      </w:pPr>
      <w:r>
        <w:rPr>
          <w:rStyle w:val="FootnoteReference"/>
        </w:rPr>
        <w:footnoteRef/>
      </w:r>
      <w:r>
        <w:t xml:space="preserve"> </w:t>
      </w:r>
      <w:proofErr w:type="gramStart"/>
      <w:r>
        <w:t xml:space="preserve">Calculated by multiplying the gross purchased electricity in </w:t>
      </w:r>
      <w:proofErr w:type="spellStart"/>
      <w:r>
        <w:t>MWh</w:t>
      </w:r>
      <w:proofErr w:type="spellEnd"/>
      <w:r>
        <w:t xml:space="preserve"> for each country (given in </w:t>
      </w:r>
      <w:r>
        <w:fldChar w:fldCharType="begin"/>
      </w:r>
      <w:r>
        <w:instrText xml:space="preserve"> REF _Ref380763939 \h </w:instrText>
      </w:r>
      <w:r>
        <w:fldChar w:fldCharType="end"/>
      </w:r>
      <w:r>
        <w:fldChar w:fldCharType="begin"/>
      </w:r>
      <w:r>
        <w:instrText xml:space="preserve"> REF _Ref380763945 \h </w:instrText>
      </w:r>
      <w:r>
        <w:fldChar w:fldCharType="separate"/>
      </w:r>
      <w:r>
        <w:t xml:space="preserve">Table </w:t>
      </w:r>
      <w:r>
        <w:rPr>
          <w:noProof/>
        </w:rPr>
        <w:t>5</w:t>
      </w:r>
      <w:r>
        <w:fldChar w:fldCharType="end"/>
      </w:r>
      <w:r>
        <w:t>) by the country-specific grid-average emissions factor in tonnes CO2e/</w:t>
      </w:r>
      <w:proofErr w:type="spellStart"/>
      <w:r>
        <w:t>MWh</w:t>
      </w:r>
      <w:proofErr w:type="spellEnd"/>
      <w:r>
        <w:t xml:space="preserve"> (given in </w:t>
      </w:r>
      <w:r>
        <w:fldChar w:fldCharType="begin"/>
      </w:r>
      <w:r>
        <w:instrText xml:space="preserve"> REF _Ref380763970 \h </w:instrText>
      </w:r>
      <w:r>
        <w:fldChar w:fldCharType="separate"/>
      </w:r>
      <w:r>
        <w:t xml:space="preserve">Table </w:t>
      </w:r>
      <w:r>
        <w:rPr>
          <w:noProof/>
        </w:rPr>
        <w:t>6</w:t>
      </w:r>
      <w:r>
        <w:fldChar w:fldCharType="end"/>
      </w:r>
      <w:r>
        <w:t>).</w:t>
      </w:r>
      <w:proofErr w:type="gramEnd"/>
    </w:p>
  </w:footnote>
  <w:footnote w:id="100">
    <w:p w:rsidR="0040731C" w:rsidRDefault="0040731C" w:rsidP="003F7294">
      <w:pPr>
        <w:pStyle w:val="FootnoteText"/>
      </w:pPr>
      <w:r>
        <w:rPr>
          <w:rStyle w:val="FootnoteReference"/>
        </w:rPr>
        <w:footnoteRef/>
      </w:r>
      <w:r>
        <w:t xml:space="preserve"> </w:t>
      </w:r>
      <w:proofErr w:type="gramStart"/>
      <w:r>
        <w:t xml:space="preserve">Calculated by multiplying the difference between gross purchased electricity and any purchased renewables (i.e. the non-renewable electricity) in </w:t>
      </w:r>
      <w:proofErr w:type="spellStart"/>
      <w:r>
        <w:t>MWh</w:t>
      </w:r>
      <w:proofErr w:type="spellEnd"/>
      <w:r>
        <w:t xml:space="preserve"> for each country (given in the last column of </w:t>
      </w:r>
      <w:r>
        <w:fldChar w:fldCharType="begin"/>
      </w:r>
      <w:r>
        <w:instrText xml:space="preserve"> REF _Ref380763945 \h </w:instrText>
      </w:r>
      <w:r>
        <w:fldChar w:fldCharType="separate"/>
      </w:r>
      <w:r>
        <w:t xml:space="preserve">Table </w:t>
      </w:r>
      <w:r>
        <w:rPr>
          <w:noProof/>
        </w:rPr>
        <w:t>5</w:t>
      </w:r>
      <w:r>
        <w:fldChar w:fldCharType="end"/>
      </w:r>
      <w:r>
        <w:t>) by the country-specific residual mix emissions factor in tonnes CO2e/</w:t>
      </w:r>
      <w:proofErr w:type="spellStart"/>
      <w:r>
        <w:t>MWh</w:t>
      </w:r>
      <w:proofErr w:type="spellEnd"/>
      <w:r>
        <w:t xml:space="preserve"> (given in </w:t>
      </w:r>
      <w:r>
        <w:fldChar w:fldCharType="begin"/>
      </w:r>
      <w:r>
        <w:instrText xml:space="preserve"> REF _Ref380763970 \h </w:instrText>
      </w:r>
      <w:r>
        <w:fldChar w:fldCharType="separate"/>
      </w:r>
      <w:r>
        <w:t xml:space="preserve">Table </w:t>
      </w:r>
      <w:r>
        <w:rPr>
          <w:noProof/>
        </w:rPr>
        <w:t>6</w:t>
      </w:r>
      <w:r>
        <w:fldChar w:fldCharType="end"/>
      </w:r>
      <w:r>
        <w:t>).</w:t>
      </w:r>
      <w:proofErr w:type="gramEnd"/>
      <w:r>
        <w:t xml:space="preserve"> If the renewable emissions factors (given in </w:t>
      </w:r>
      <w:r>
        <w:fldChar w:fldCharType="begin"/>
      </w:r>
      <w:r>
        <w:instrText xml:space="preserve"> REF _Ref380763970 \h </w:instrText>
      </w:r>
      <w:r>
        <w:fldChar w:fldCharType="separate"/>
      </w:r>
      <w:r>
        <w:t xml:space="preserve">Table </w:t>
      </w:r>
      <w:r>
        <w:rPr>
          <w:noProof/>
        </w:rPr>
        <w:t>6</w:t>
      </w:r>
      <w:r>
        <w:fldChar w:fldCharType="end"/>
      </w:r>
      <w:r>
        <w:t xml:space="preserve">) were non-zero, there would be an additional contribution calculated by multiplying the purchased renewable electricity in </w:t>
      </w:r>
      <w:proofErr w:type="spellStart"/>
      <w:r>
        <w:t>MWh</w:t>
      </w:r>
      <w:proofErr w:type="spellEnd"/>
      <w:r>
        <w:t xml:space="preserve"> for each country (given in </w:t>
      </w:r>
      <w:r>
        <w:fldChar w:fldCharType="begin"/>
      </w:r>
      <w:r>
        <w:instrText xml:space="preserve"> REF _Ref380763945 \h </w:instrText>
      </w:r>
      <w:r>
        <w:fldChar w:fldCharType="separate"/>
      </w:r>
      <w:r>
        <w:t xml:space="preserve">Table </w:t>
      </w:r>
      <w:r>
        <w:rPr>
          <w:noProof/>
        </w:rPr>
        <w:t>5</w:t>
      </w:r>
      <w:r>
        <w:fldChar w:fldCharType="end"/>
      </w:r>
      <w:r>
        <w:t>) by the country-specific renewable emissions factor in tonnes CO2e/</w:t>
      </w:r>
      <w:proofErr w:type="spellStart"/>
      <w:r>
        <w:t>MWh</w:t>
      </w:r>
      <w:proofErr w:type="spellEnd"/>
      <w:r>
        <w:t xml:space="preserve"> (given in </w:t>
      </w:r>
      <w:r>
        <w:fldChar w:fldCharType="begin"/>
      </w:r>
      <w:r>
        <w:instrText xml:space="preserve"> REF _Ref380763970 \h </w:instrText>
      </w:r>
      <w:r>
        <w:fldChar w:fldCharType="separate"/>
      </w:r>
      <w:r>
        <w:t xml:space="preserve">Table </w:t>
      </w:r>
      <w:r>
        <w:rPr>
          <w:noProof/>
        </w:rPr>
        <w:t>6</w:t>
      </w:r>
      <w:r>
        <w:fldChar w:fldCharType="end"/>
      </w:r>
      <w:r>
        <w:t>).</w:t>
      </w:r>
    </w:p>
  </w:footnote>
  <w:footnote w:id="101">
    <w:p w:rsidR="0040731C" w:rsidRDefault="0040731C" w:rsidP="00DB10F0">
      <w:pPr>
        <w:pStyle w:val="FootnoteText"/>
      </w:pPr>
      <w:r>
        <w:rPr>
          <w:rStyle w:val="FootnoteReference"/>
        </w:rPr>
        <w:footnoteRef/>
      </w:r>
      <w:r>
        <w:t xml:space="preserve"> Coloured figures in this table correspond with those in Box 1, below.</w:t>
      </w:r>
    </w:p>
    <w:p w:rsidR="0040731C" w:rsidRDefault="0040731C">
      <w:pPr>
        <w:pStyle w:val="FootnoteText"/>
      </w:pPr>
    </w:p>
  </w:footnote>
  <w:footnote w:id="102">
    <w:p w:rsidR="0040731C" w:rsidRDefault="0040731C" w:rsidP="000D737E">
      <w:pPr>
        <w:pStyle w:val="FootnoteText"/>
      </w:pPr>
      <w:r>
        <w:rPr>
          <w:rStyle w:val="FootnoteReference"/>
        </w:rPr>
        <w:footnoteRef/>
      </w:r>
      <w:r>
        <w:t xml:space="preserve"> Coloured figures in this table correspond with those in Box 1, below.</w:t>
      </w:r>
    </w:p>
    <w:p w:rsidR="0040731C" w:rsidRDefault="0040731C" w:rsidP="000D737E">
      <w:pPr>
        <w:pStyle w:val="FootnoteText"/>
      </w:pPr>
    </w:p>
  </w:footnote>
  <w:footnote w:id="103">
    <w:p w:rsidR="0040731C" w:rsidRDefault="0040731C" w:rsidP="000D737E">
      <w:pPr>
        <w:pStyle w:val="FootnoteText"/>
      </w:pPr>
      <w:r>
        <w:rPr>
          <w:rStyle w:val="FootnoteReference"/>
        </w:rPr>
        <w:footnoteRef/>
      </w:r>
      <w:r>
        <w:t xml:space="preserve"> Coloured figures in Box 1 correspond with those in the preceding tables and are used to illustrate the origin of the figures making up the gross emissions figures. This is not a requirement, but is simply included here to illustrate the method.</w:t>
      </w:r>
    </w:p>
  </w:footnote>
  <w:footnote w:id="104">
    <w:p w:rsidR="0040731C" w:rsidRDefault="0040731C" w:rsidP="00B5236E">
      <w:pPr>
        <w:pStyle w:val="FootnoteText"/>
      </w:pPr>
      <w:r>
        <w:rPr>
          <w:rStyle w:val="FootnoteReference"/>
        </w:rPr>
        <w:footnoteRef/>
      </w:r>
      <w:r>
        <w:t xml:space="preserve"> In this guidance, emissions reductions due to purchase of grid-injected </w:t>
      </w:r>
      <w:proofErr w:type="spellStart"/>
      <w:r>
        <w:t>biomethane</w:t>
      </w:r>
      <w:proofErr w:type="spellEnd"/>
      <w:r>
        <w:t xml:space="preserve"> are listed as avoided emissions in </w:t>
      </w:r>
      <w:r>
        <w:fldChar w:fldCharType="begin"/>
      </w:r>
      <w:r>
        <w:instrText xml:space="preserve"> REF _Ref380508985 \h </w:instrText>
      </w:r>
      <w:r>
        <w:fldChar w:fldCharType="separate"/>
      </w:r>
      <w:r>
        <w:t xml:space="preserve">Table </w:t>
      </w:r>
      <w:r>
        <w:rPr>
          <w:noProof/>
        </w:rPr>
        <w:t>4</w:t>
      </w:r>
      <w:r>
        <w:fldChar w:fldCharType="end"/>
      </w:r>
      <w:r>
        <w:t xml:space="preserve"> and may be reflected in the net emissions estimate, if this line is included.</w:t>
      </w:r>
    </w:p>
  </w:footnote>
  <w:footnote w:id="105">
    <w:p w:rsidR="0040731C" w:rsidRPr="00E72489" w:rsidRDefault="0040731C" w:rsidP="00913351">
      <w:pPr>
        <w:pStyle w:val="NoSpacing"/>
        <w:rPr>
          <w:rFonts w:ascii="Arial" w:hAnsi="Arial" w:cs="Arial"/>
          <w:sz w:val="18"/>
          <w:szCs w:val="18"/>
        </w:rPr>
      </w:pPr>
      <w:r w:rsidRPr="00E72489">
        <w:rPr>
          <w:rStyle w:val="FootnoteReference"/>
          <w:rFonts w:ascii="Arial" w:hAnsi="Arial" w:cs="Arial"/>
          <w:sz w:val="18"/>
          <w:szCs w:val="18"/>
        </w:rPr>
        <w:footnoteRef/>
      </w:r>
      <w:r w:rsidRPr="00E72489">
        <w:rPr>
          <w:rFonts w:ascii="Arial" w:hAnsi="Arial" w:cs="Arial"/>
          <w:sz w:val="18"/>
          <w:szCs w:val="18"/>
        </w:rPr>
        <w:t xml:space="preserve"> Physical scarcity occurs when demand for water in a region exceeds the supply due to limited physical availability.</w:t>
      </w:r>
    </w:p>
  </w:footnote>
  <w:footnote w:id="106">
    <w:p w:rsidR="0040731C" w:rsidRPr="00E72489" w:rsidRDefault="0040731C" w:rsidP="00913351">
      <w:pPr>
        <w:pStyle w:val="NoSpacing"/>
        <w:rPr>
          <w:rFonts w:ascii="Arial" w:hAnsi="Arial" w:cs="Arial"/>
          <w:sz w:val="18"/>
          <w:szCs w:val="18"/>
        </w:rPr>
      </w:pPr>
      <w:r w:rsidRPr="00E72489">
        <w:rPr>
          <w:rStyle w:val="FootnoteReference"/>
          <w:rFonts w:ascii="Arial" w:hAnsi="Arial" w:cs="Arial"/>
          <w:sz w:val="18"/>
          <w:szCs w:val="18"/>
        </w:rPr>
        <w:footnoteRef/>
      </w:r>
      <w:r w:rsidRPr="00E72489">
        <w:rPr>
          <w:rFonts w:ascii="Arial" w:hAnsi="Arial" w:cs="Arial"/>
          <w:sz w:val="18"/>
          <w:szCs w:val="18"/>
        </w:rPr>
        <w:t xml:space="preserve"> Economic scarcity occurs when the low supply is caused by inadequate water management practices due to lack of financial resources or capacity. </w:t>
      </w:r>
    </w:p>
    <w:p w:rsidR="0040731C" w:rsidRDefault="0040731C" w:rsidP="00913351">
      <w:pPr>
        <w:pStyle w:val="NoSpacing"/>
      </w:pPr>
      <w:r w:rsidRPr="00474660">
        <w:rPr>
          <w:szCs w:val="24"/>
        </w:rPr>
        <w:t> </w:t>
      </w:r>
    </w:p>
  </w:footnote>
  <w:footnote w:id="107">
    <w:p w:rsidR="0040731C" w:rsidRDefault="0040731C" w:rsidP="00913351">
      <w:pPr>
        <w:pStyle w:val="FootnoteText"/>
      </w:pPr>
      <w:r>
        <w:rPr>
          <w:rStyle w:val="FootnoteReference"/>
        </w:rPr>
        <w:footnoteRef/>
      </w:r>
      <w:r>
        <w:t xml:space="preserve"> </w:t>
      </w:r>
      <w:hyperlink r:id="rId39" w:history="1">
        <w:r w:rsidRPr="002D679C">
          <w:rPr>
            <w:rStyle w:val="Hyperlink"/>
          </w:rPr>
          <w:t>http://www.environment-agency.gov.uk/research/planning/33362.aspx</w:t>
        </w:r>
      </w:hyperlink>
      <w:r>
        <w:t xml:space="preserve"> </w:t>
      </w:r>
    </w:p>
  </w:footnote>
  <w:footnote w:id="108">
    <w:p w:rsidR="0040731C" w:rsidRDefault="0040731C" w:rsidP="00913351">
      <w:pPr>
        <w:pStyle w:val="FootnoteText"/>
      </w:pPr>
      <w:r>
        <w:rPr>
          <w:rStyle w:val="FootnoteReference"/>
        </w:rPr>
        <w:footnoteRef/>
      </w:r>
      <w:r>
        <w:t xml:space="preserve"> </w:t>
      </w:r>
      <w:hyperlink r:id="rId40" w:history="1">
        <w:r w:rsidRPr="00DE15F3">
          <w:rPr>
            <w:rStyle w:val="Hyperlink"/>
          </w:rPr>
          <w:t>http://assets.wwf.org.uk/downloads/water_footprint_uk.pdf</w:t>
        </w:r>
      </w:hyperlink>
    </w:p>
  </w:footnote>
  <w:footnote w:id="109">
    <w:p w:rsidR="0040731C" w:rsidRDefault="0040731C" w:rsidP="00913351">
      <w:pPr>
        <w:pStyle w:val="FootnoteText"/>
      </w:pPr>
      <w:r>
        <w:rPr>
          <w:rStyle w:val="FootnoteReference"/>
        </w:rPr>
        <w:footnoteRef/>
      </w:r>
      <w:r>
        <w:t xml:space="preserve"> </w:t>
      </w:r>
      <w:hyperlink r:id="rId41" w:history="1">
        <w:r w:rsidRPr="002D679C">
          <w:rPr>
            <w:rStyle w:val="Hyperlink"/>
          </w:rPr>
          <w:t>https://www.cdproject.net/CDPResults/CDP-Water-Disclosure-Global-Report-2011.pdf</w:t>
        </w:r>
      </w:hyperlink>
      <w:r>
        <w:t xml:space="preserve"> </w:t>
      </w:r>
    </w:p>
  </w:footnote>
  <w:footnote w:id="110">
    <w:p w:rsidR="0040731C" w:rsidRDefault="0040731C" w:rsidP="00913351">
      <w:pPr>
        <w:pStyle w:val="FootnoteText"/>
      </w:pPr>
      <w:r>
        <w:rPr>
          <w:rStyle w:val="FootnoteReference"/>
        </w:rPr>
        <w:footnoteRef/>
      </w:r>
      <w:r>
        <w:t xml:space="preserve"> </w:t>
      </w:r>
      <w:hyperlink r:id="rId42" w:history="1">
        <w:r w:rsidRPr="002D679C">
          <w:rPr>
            <w:rStyle w:val="Hyperlink"/>
          </w:rPr>
          <w:t>https://www.cdproject.net/water</w:t>
        </w:r>
      </w:hyperlink>
      <w:r>
        <w:t xml:space="preserve"> </w:t>
      </w:r>
    </w:p>
  </w:footnote>
  <w:footnote w:id="111">
    <w:p w:rsidR="0040731C" w:rsidRDefault="0040731C" w:rsidP="00913351">
      <w:pPr>
        <w:pStyle w:val="FootnoteText"/>
      </w:pPr>
      <w:r>
        <w:rPr>
          <w:rStyle w:val="FootnoteReference"/>
        </w:rPr>
        <w:footnoteRef/>
      </w:r>
      <w:r>
        <w:t xml:space="preserve"> </w:t>
      </w:r>
      <w:hyperlink r:id="rId43" w:history="1">
        <w:r w:rsidRPr="002D679C">
          <w:rPr>
            <w:rStyle w:val="Hyperlink"/>
          </w:rPr>
          <w:t>https://www.globalreporting.org/resourcelibrary/G3.1-Environment-Indicator-Protocols.pdf</w:t>
        </w:r>
      </w:hyperlink>
      <w:r>
        <w:t xml:space="preserve"> </w:t>
      </w:r>
    </w:p>
  </w:footnote>
  <w:footnote w:id="112">
    <w:p w:rsidR="0040731C" w:rsidRDefault="0040731C" w:rsidP="00913351">
      <w:pPr>
        <w:pStyle w:val="FootnoteText"/>
      </w:pPr>
      <w:r>
        <w:rPr>
          <w:rStyle w:val="FootnoteReference"/>
        </w:rPr>
        <w:footnoteRef/>
      </w:r>
      <w:r>
        <w:t xml:space="preserve"> </w:t>
      </w:r>
      <w:hyperlink r:id="rId44" w:history="1">
        <w:r w:rsidRPr="002D679C">
          <w:rPr>
            <w:rStyle w:val="Hyperlink"/>
          </w:rPr>
          <w:t>http://www.wbcsd.org/work-program/sector-projects/water/global-water-tool.aspx</w:t>
        </w:r>
      </w:hyperlink>
      <w:r>
        <w:t xml:space="preserve"> </w:t>
      </w:r>
    </w:p>
  </w:footnote>
  <w:footnote w:id="113">
    <w:p w:rsidR="0040731C" w:rsidRDefault="0040731C" w:rsidP="00913351">
      <w:pPr>
        <w:pStyle w:val="FootnoteText"/>
      </w:pPr>
      <w:r>
        <w:rPr>
          <w:rStyle w:val="FootnoteReference"/>
        </w:rPr>
        <w:footnoteRef/>
      </w:r>
      <w:r>
        <w:t xml:space="preserve"> </w:t>
      </w:r>
      <w:hyperlink r:id="rId45" w:history="1">
        <w:r w:rsidRPr="002D679C">
          <w:rPr>
            <w:rStyle w:val="Hyperlink"/>
          </w:rPr>
          <w:t>http://www.gemi.org/water/overview.htm</w:t>
        </w:r>
      </w:hyperlink>
      <w:r>
        <w:t xml:space="preserve"> </w:t>
      </w:r>
    </w:p>
  </w:footnote>
  <w:footnote w:id="114">
    <w:p w:rsidR="0040731C" w:rsidRDefault="0040731C" w:rsidP="00913351">
      <w:pPr>
        <w:pStyle w:val="FootnoteText"/>
      </w:pPr>
      <w:r>
        <w:rPr>
          <w:rStyle w:val="FootnoteReference"/>
        </w:rPr>
        <w:footnoteRef/>
      </w:r>
      <w:r>
        <w:t xml:space="preserve"> </w:t>
      </w:r>
      <w:hyperlink r:id="rId46" w:history="1">
        <w:r w:rsidRPr="002D679C">
          <w:rPr>
            <w:rStyle w:val="Hyperlink"/>
          </w:rPr>
          <w:t>http://www.ceres.org/issues/water/aqua-gauge/downloads/aqua-gauge-executive-summary</w:t>
        </w:r>
      </w:hyperlink>
      <w:r>
        <w:t xml:space="preserve"> </w:t>
      </w:r>
    </w:p>
  </w:footnote>
  <w:footnote w:id="115">
    <w:p w:rsidR="0040731C" w:rsidRDefault="0040731C" w:rsidP="00913351">
      <w:pPr>
        <w:pStyle w:val="FootnoteText"/>
      </w:pPr>
      <w:r>
        <w:rPr>
          <w:rStyle w:val="FootnoteReference"/>
        </w:rPr>
        <w:footnoteRef/>
      </w:r>
      <w:r>
        <w:t xml:space="preserve"> </w:t>
      </w:r>
      <w:hyperlink r:id="rId47" w:history="1">
        <w:r w:rsidRPr="002D679C">
          <w:rPr>
            <w:rStyle w:val="Hyperlink"/>
          </w:rPr>
          <w:t>http://www.ewp.eu/</w:t>
        </w:r>
      </w:hyperlink>
      <w:r>
        <w:t xml:space="preserve"> </w:t>
      </w:r>
    </w:p>
  </w:footnote>
  <w:footnote w:id="116">
    <w:p w:rsidR="0040731C" w:rsidRDefault="0040731C" w:rsidP="00913351">
      <w:pPr>
        <w:pStyle w:val="FootnoteText"/>
      </w:pPr>
      <w:r>
        <w:rPr>
          <w:rStyle w:val="FootnoteReference"/>
        </w:rPr>
        <w:footnoteRef/>
      </w:r>
      <w:r>
        <w:t xml:space="preserve"> </w:t>
      </w:r>
      <w:hyperlink r:id="rId48" w:history="1">
        <w:r w:rsidRPr="002D679C">
          <w:rPr>
            <w:rStyle w:val="Hyperlink"/>
          </w:rPr>
          <w:t>http://www.allianceforwaterstewardship.org/index.html</w:t>
        </w:r>
      </w:hyperlink>
      <w:r>
        <w:t xml:space="preserve"> </w:t>
      </w:r>
    </w:p>
  </w:footnote>
  <w:footnote w:id="117">
    <w:p w:rsidR="0040731C" w:rsidRDefault="0040731C" w:rsidP="00913351">
      <w:pPr>
        <w:pStyle w:val="FootnoteText"/>
      </w:pPr>
      <w:r>
        <w:rPr>
          <w:rStyle w:val="FootnoteReference"/>
        </w:rPr>
        <w:footnoteRef/>
      </w:r>
      <w:r>
        <w:t xml:space="preserve"> </w:t>
      </w:r>
      <w:hyperlink r:id="rId49" w:history="1">
        <w:r w:rsidRPr="002D679C">
          <w:rPr>
            <w:rStyle w:val="Hyperlink"/>
          </w:rPr>
          <w:t>http://ceowatermandate.org/about/</w:t>
        </w:r>
      </w:hyperlink>
      <w:r>
        <w:t xml:space="preserve"> </w:t>
      </w:r>
    </w:p>
  </w:footnote>
  <w:footnote w:id="118">
    <w:p w:rsidR="0040731C" w:rsidRDefault="0040731C" w:rsidP="00913351">
      <w:pPr>
        <w:pStyle w:val="FootnoteText"/>
      </w:pPr>
      <w:r>
        <w:rPr>
          <w:rStyle w:val="FootnoteReference"/>
        </w:rPr>
        <w:footnoteRef/>
      </w:r>
      <w:r>
        <w:t xml:space="preserve"> </w:t>
      </w:r>
      <w:hyperlink r:id="rId50" w:history="1">
        <w:r w:rsidRPr="002D679C">
          <w:rPr>
            <w:rStyle w:val="Hyperlink"/>
          </w:rPr>
          <w:t>http://www.waterfootprint.org/?page=files/home</w:t>
        </w:r>
      </w:hyperlink>
      <w:r>
        <w:t xml:space="preserve"> </w:t>
      </w:r>
    </w:p>
  </w:footnote>
  <w:footnote w:id="119">
    <w:p w:rsidR="0040731C" w:rsidRDefault="0040731C" w:rsidP="00913351">
      <w:pPr>
        <w:pStyle w:val="FootnoteText"/>
      </w:pPr>
      <w:r>
        <w:rPr>
          <w:rStyle w:val="FootnoteReference"/>
        </w:rPr>
        <w:footnoteRef/>
      </w:r>
      <w:r>
        <w:t xml:space="preserve"> </w:t>
      </w:r>
      <w:hyperlink r:id="rId51" w:history="1">
        <w:r w:rsidRPr="002D679C">
          <w:rPr>
            <w:rStyle w:val="Hyperlink"/>
          </w:rPr>
          <w:t>http://marinemanagement.org.uk/licensing/documents/guidance/08.pdf</w:t>
        </w:r>
      </w:hyperlink>
      <w:r>
        <w:t xml:space="preserve"> </w:t>
      </w:r>
    </w:p>
  </w:footnote>
  <w:footnote w:id="120">
    <w:p w:rsidR="0040731C" w:rsidRDefault="0040731C" w:rsidP="00913351">
      <w:pPr>
        <w:pStyle w:val="FootnoteText"/>
        <w:rPr>
          <w:rFonts w:cs="Arial"/>
          <w:lang w:eastAsia="en-GB"/>
        </w:rPr>
      </w:pPr>
      <w:r>
        <w:rPr>
          <w:rStyle w:val="FootnoteReference"/>
        </w:rPr>
        <w:footnoteRef/>
      </w:r>
      <w:r>
        <w:t xml:space="preserve"> T</w:t>
      </w:r>
      <w:r w:rsidRPr="00DA172A">
        <w:rPr>
          <w:rFonts w:cs="Arial"/>
          <w:lang w:eastAsia="en-GB"/>
        </w:rPr>
        <w:t xml:space="preserve">he world’s largest mining companies are members of the ICMM.  Further detail can be found at </w:t>
      </w:r>
      <w:hyperlink r:id="rId52" w:history="1">
        <w:r w:rsidRPr="00DA172A">
          <w:rPr>
            <w:rStyle w:val="Hyperlink"/>
            <w:rFonts w:cs="Arial"/>
            <w:lang w:eastAsia="en-GB"/>
          </w:rPr>
          <w:t>http://www.icmm.com/our-work/sustainable-development-framework/10-principles</w:t>
        </w:r>
      </w:hyperlink>
    </w:p>
    <w:p w:rsidR="0040731C" w:rsidRDefault="0040731C" w:rsidP="00913351">
      <w:pPr>
        <w:pStyle w:val="FootnoteText"/>
      </w:pPr>
    </w:p>
  </w:footnote>
  <w:footnote w:id="121">
    <w:p w:rsidR="0040731C" w:rsidRDefault="0040731C" w:rsidP="00913351">
      <w:pPr>
        <w:pStyle w:val="FootnoteText"/>
      </w:pPr>
      <w:r>
        <w:rPr>
          <w:rStyle w:val="FootnoteReference"/>
        </w:rPr>
        <w:footnoteRef/>
      </w:r>
      <w:r>
        <w:t xml:space="preserve"> </w:t>
      </w:r>
      <w:hyperlink r:id="rId53" w:history="1">
        <w:r w:rsidRPr="002D679C">
          <w:rPr>
            <w:rStyle w:val="Hyperlink"/>
          </w:rPr>
          <w:t>https://www.globalreporting.org/resourcelibrary/MMSS-Complete.pdf</w:t>
        </w:r>
      </w:hyperlink>
      <w:r>
        <w:t xml:space="preserve"> </w:t>
      </w:r>
    </w:p>
  </w:footnote>
  <w:footnote w:id="122">
    <w:p w:rsidR="0040731C" w:rsidRDefault="0040731C" w:rsidP="00913351">
      <w:r>
        <w:rPr>
          <w:rStyle w:val="FootnoteReference"/>
        </w:rPr>
        <w:footnoteRef/>
      </w:r>
      <w:r>
        <w:t xml:space="preserve"> </w:t>
      </w:r>
      <w:hyperlink r:id="rId54" w:history="1">
        <w:r w:rsidRPr="002D679C">
          <w:rPr>
            <w:rStyle w:val="Hyperlink"/>
            <w:sz w:val="18"/>
            <w:szCs w:val="18"/>
          </w:rPr>
          <w:t>https://www.globalreporting.org/resourcelibrary/OGSS-G3.1-Complete.pdf</w:t>
        </w:r>
      </w:hyperlink>
      <w:r>
        <w:rPr>
          <w:sz w:val="18"/>
          <w:szCs w:val="18"/>
        </w:rPr>
        <w:t xml:space="preserve"> </w:t>
      </w:r>
    </w:p>
  </w:footnote>
  <w:footnote w:id="123">
    <w:p w:rsidR="0040731C" w:rsidRPr="00B34B28" w:rsidRDefault="0040731C" w:rsidP="00913351">
      <w:pPr>
        <w:pStyle w:val="FootnoteText"/>
        <w:rPr>
          <w:sz w:val="16"/>
          <w:szCs w:val="16"/>
        </w:rPr>
      </w:pPr>
      <w:r w:rsidRPr="00B34B28">
        <w:rPr>
          <w:rStyle w:val="FootnoteReference"/>
          <w:sz w:val="16"/>
          <w:szCs w:val="16"/>
        </w:rPr>
        <w:footnoteRef/>
      </w:r>
      <w:r w:rsidRPr="00B34B28">
        <w:rPr>
          <w:sz w:val="16"/>
          <w:szCs w:val="16"/>
        </w:rPr>
        <w:t xml:space="preserve"> </w:t>
      </w:r>
      <w:hyperlink r:id="rId55" w:history="1">
        <w:r w:rsidRPr="002D679C">
          <w:rPr>
            <w:rStyle w:val="Hyperlink"/>
            <w:sz w:val="16"/>
            <w:szCs w:val="16"/>
          </w:rPr>
          <w:t>http://www.bgs.ac.uk/mineralsuk/sustainability</w:t>
        </w:r>
      </w:hyperlink>
      <w:r>
        <w:rPr>
          <w:sz w:val="16"/>
          <w:szCs w:val="16"/>
        </w:rPr>
        <w:t xml:space="preserve"> </w:t>
      </w:r>
    </w:p>
  </w:footnote>
  <w:footnote w:id="124">
    <w:p w:rsidR="0040731C" w:rsidRDefault="0040731C" w:rsidP="00913351">
      <w:pPr>
        <w:pStyle w:val="FootnoteText"/>
      </w:pPr>
      <w:r>
        <w:rPr>
          <w:rStyle w:val="FootnoteReference"/>
        </w:rPr>
        <w:footnoteRef/>
      </w:r>
      <w:r>
        <w:t xml:space="preserve"> </w:t>
      </w:r>
      <w:r w:rsidRPr="00DA172A">
        <w:rPr>
          <w:rFonts w:cs="Arial"/>
          <w:bCs/>
          <w:color w:val="000000"/>
          <w:lang w:eastAsia="en-GB"/>
        </w:rPr>
        <w:t xml:space="preserve">“biodegradable fraction of products, waste and residues from agriculture (including vegetal and animal substances) forestry and related industries, as well as the biodegradable fraction of industrial and food waste’  (EU </w:t>
      </w:r>
      <w:r w:rsidRPr="00DA172A">
        <w:rPr>
          <w:rFonts w:cs="Arial"/>
          <w:color w:val="000000"/>
          <w:lang w:eastAsia="en-GB"/>
        </w:rPr>
        <w:t>Renewables Directive).</w:t>
      </w:r>
    </w:p>
  </w:footnote>
  <w:footnote w:id="125">
    <w:p w:rsidR="0040731C" w:rsidRPr="00C302E7" w:rsidRDefault="0040731C" w:rsidP="00913351">
      <w:pPr>
        <w:rPr>
          <w:rFonts w:cs="Arial"/>
          <w:sz w:val="20"/>
        </w:rPr>
      </w:pPr>
      <w:r>
        <w:rPr>
          <w:rStyle w:val="FootnoteReference"/>
        </w:rPr>
        <w:footnoteRef/>
      </w:r>
      <w:r>
        <w:t xml:space="preserve"> </w:t>
      </w:r>
      <w:proofErr w:type="gramStart"/>
      <w:r w:rsidRPr="00C302E7">
        <w:rPr>
          <w:rFonts w:cs="Arial"/>
          <w:sz w:val="20"/>
        </w:rPr>
        <w:t>The Environmental Permitting Programme (EPP); Waste Incineration Directive (WID); the Building Regulations; the Clean Air Act; the Pollution Prevention and Control Regulations (England and Wales); the Large Combustion Plant Directive; and the Plant Health Import Regulations including on importing wood.</w:t>
      </w:r>
      <w:proofErr w:type="gramEnd"/>
    </w:p>
    <w:p w:rsidR="0040731C" w:rsidRDefault="0040731C" w:rsidP="00913351">
      <w:pPr>
        <w:pStyle w:val="FootnoteText"/>
      </w:pPr>
    </w:p>
  </w:footnote>
  <w:footnote w:id="126">
    <w:p w:rsidR="0040731C" w:rsidRDefault="0040731C" w:rsidP="00913351">
      <w:pPr>
        <w:pStyle w:val="FootnoteText"/>
      </w:pPr>
      <w:r>
        <w:rPr>
          <w:rStyle w:val="FootnoteReference"/>
        </w:rPr>
        <w:footnoteRef/>
      </w:r>
      <w:r>
        <w:t xml:space="preserve"> </w:t>
      </w:r>
      <w:hyperlink r:id="rId56" w:history="1">
        <w:r w:rsidRPr="002D679C">
          <w:rPr>
            <w:rStyle w:val="Hyperlink"/>
          </w:rPr>
          <w:t>http://www.ospar.org/documents/DBASE/DECRECS/Decisions/od00-02e.doc</w:t>
        </w:r>
      </w:hyperlink>
      <w:r>
        <w:t xml:space="preserve"> </w:t>
      </w:r>
    </w:p>
  </w:footnote>
  <w:footnote w:id="127">
    <w:p w:rsidR="0040731C" w:rsidRDefault="0040731C" w:rsidP="00913351">
      <w:pPr>
        <w:pStyle w:val="FootnoteText"/>
      </w:pPr>
      <w:r>
        <w:rPr>
          <w:rStyle w:val="FootnoteReference"/>
        </w:rPr>
        <w:footnoteRef/>
      </w:r>
      <w:r>
        <w:t xml:space="preserve"> </w:t>
      </w:r>
      <w:hyperlink r:id="rId57" w:history="1">
        <w:r w:rsidRPr="002D679C">
          <w:rPr>
            <w:rStyle w:val="Hyperlink"/>
          </w:rPr>
          <w:t>http://www.ospar.org/documents/DBASE/DECRECS/Agreements/02-06e_Common%20interpretation.doc</w:t>
        </w:r>
      </w:hyperlink>
      <w:r>
        <w:t xml:space="preserve"> </w:t>
      </w:r>
    </w:p>
  </w:footnote>
  <w:footnote w:id="128">
    <w:p w:rsidR="0040731C" w:rsidRDefault="0040731C" w:rsidP="00913351">
      <w:pPr>
        <w:pStyle w:val="FootnoteText"/>
      </w:pPr>
      <w:r>
        <w:rPr>
          <w:rStyle w:val="FootnoteReference"/>
        </w:rPr>
        <w:footnoteRef/>
      </w:r>
      <w:r>
        <w:t xml:space="preserve"> </w:t>
      </w:r>
      <w:hyperlink r:id="rId58" w:history="1">
        <w:r w:rsidRPr="002D679C">
          <w:rPr>
            <w:rStyle w:val="Hyperlink"/>
          </w:rPr>
          <w:t>http://www.cefas.defra.gov.uk/industry-information/offshore-chemical-notification-scheme.aspx</w:t>
        </w:r>
      </w:hyperlink>
      <w:r>
        <w:t xml:space="preserve"> </w:t>
      </w:r>
    </w:p>
  </w:footnote>
  <w:footnote w:id="129">
    <w:p w:rsidR="0040731C" w:rsidRDefault="0040731C" w:rsidP="00913351">
      <w:pPr>
        <w:pStyle w:val="FootnoteText"/>
      </w:pPr>
      <w:r>
        <w:rPr>
          <w:rStyle w:val="FootnoteReference"/>
        </w:rPr>
        <w:footnoteRef/>
      </w:r>
      <w:r>
        <w:t xml:space="preserve"> Main source: United States Environmental Protection Agency. Note that not </w:t>
      </w:r>
      <w:r>
        <w:rPr>
          <w:rFonts w:cs="Arial"/>
        </w:rPr>
        <w:t>all these will be applicable in the UK, but the table is left complete to assist multinational UK registered companies that wish to refer to these guidelines.</w:t>
      </w:r>
      <w:r>
        <w:t xml:space="preserve"> </w:t>
      </w:r>
    </w:p>
  </w:footnote>
  <w:footnote w:id="130">
    <w:p w:rsidR="0040731C" w:rsidRPr="00AA48B1" w:rsidRDefault="0040731C" w:rsidP="00913351">
      <w:pPr>
        <w:pStyle w:val="FootnoteText"/>
      </w:pPr>
      <w:r w:rsidRPr="00AA48B1">
        <w:rPr>
          <w:rStyle w:val="FootnoteReference"/>
        </w:rPr>
        <w:footnoteRef/>
      </w:r>
      <w:r w:rsidRPr="00AA48B1">
        <w:t xml:space="preserve"> </w:t>
      </w:r>
      <w:r w:rsidRPr="00AA48B1">
        <w:rPr>
          <w:rStyle w:val="A13"/>
          <w:sz w:val="20"/>
          <w:szCs w:val="20"/>
        </w:rPr>
        <w:t>This definition has been derived from ‘Ecosystems and human well-being; Opportunities and Challenges for Business and Industry’ of the Millennium Ecosystem Assessment.</w:t>
      </w:r>
    </w:p>
  </w:footnote>
  <w:footnote w:id="131">
    <w:p w:rsidR="0040731C" w:rsidRPr="00AA48B1" w:rsidRDefault="0040731C" w:rsidP="00913351">
      <w:pPr>
        <w:pageBreakBefore/>
        <w:autoSpaceDE w:val="0"/>
        <w:autoSpaceDN w:val="0"/>
        <w:spacing w:before="120" w:after="0" w:line="240" w:lineRule="auto"/>
        <w:rPr>
          <w:rFonts w:cs="Arial"/>
          <w:color w:val="000000"/>
          <w:sz w:val="20"/>
          <w:szCs w:val="20"/>
        </w:rPr>
      </w:pPr>
      <w:r w:rsidRPr="00AA48B1">
        <w:rPr>
          <w:rStyle w:val="FootnoteReference"/>
          <w:sz w:val="20"/>
          <w:szCs w:val="20"/>
        </w:rPr>
        <w:footnoteRef/>
      </w:r>
      <w:r w:rsidRPr="00AA48B1">
        <w:rPr>
          <w:sz w:val="20"/>
          <w:szCs w:val="20"/>
        </w:rPr>
        <w:t xml:space="preserve"> </w:t>
      </w:r>
      <w:r w:rsidRPr="00AA48B1">
        <w:rPr>
          <w:rFonts w:cs="Arial"/>
          <w:color w:val="000000"/>
          <w:sz w:val="20"/>
          <w:szCs w:val="20"/>
        </w:rPr>
        <w:t xml:space="preserve">105 The term ‘capital’ is used to describe a stock or resource from which revenue or yield can be extracted. Four basic categories of natural capital are generally recognised: air, water (fresh, groundwater and marine), land (including soil, space and landscape) and habitats (including the ecosystems, flora and fauna which they both comprise and support). </w:t>
      </w:r>
    </w:p>
    <w:p w:rsidR="0040731C" w:rsidRDefault="0040731C" w:rsidP="0091335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1C" w:rsidRPr="00D8237F" w:rsidRDefault="0040731C" w:rsidP="00D8237F">
    <w:pPr>
      <w:pStyle w:val="Header"/>
      <w:spacing w:after="0" w:line="240"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1C" w:rsidRDefault="0040731C">
    <w:pPr>
      <w:pStyle w:val="Header"/>
    </w:pPr>
    <w:r>
      <w:rPr>
        <w:noProof/>
        <w:lang w:eastAsia="en-GB"/>
      </w:rPr>
      <mc:AlternateContent>
        <mc:Choice Requires="wps">
          <w:drawing>
            <wp:anchor distT="0" distB="0" distL="114300" distR="114300" simplePos="0" relativeHeight="251657728" behindDoc="0" locked="0" layoutInCell="1" allowOverlap="1" wp14:anchorId="473BA87E" wp14:editId="56BBB886">
              <wp:simplePos x="0" y="0"/>
              <wp:positionH relativeFrom="column">
                <wp:posOffset>-720090</wp:posOffset>
              </wp:positionH>
              <wp:positionV relativeFrom="paragraph">
                <wp:posOffset>-450215</wp:posOffset>
              </wp:positionV>
              <wp:extent cx="215900" cy="10734675"/>
              <wp:effectExtent l="381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10734675"/>
                      </a:xfrm>
                      <a:prstGeom prst="rect">
                        <a:avLst/>
                      </a:prstGeom>
                      <a:solidFill>
                        <a:srgbClr val="8788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6.7pt;margin-top:-35.45pt;width:17pt;height:84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" fillcolor="#878800"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D74"/>
    <w:multiLevelType w:val="hybridMultilevel"/>
    <w:tmpl w:val="1174D99E"/>
    <w:lvl w:ilvl="0" w:tplc="C6846096">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247EC5"/>
    <w:multiLevelType w:val="hybridMultilevel"/>
    <w:tmpl w:val="C0A2B416"/>
    <w:lvl w:ilvl="0" w:tplc="C6846096">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345BFC"/>
    <w:multiLevelType w:val="hybridMultilevel"/>
    <w:tmpl w:val="5D98F976"/>
    <w:lvl w:ilvl="0" w:tplc="C6C876DE">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FD149B"/>
    <w:multiLevelType w:val="hybridMultilevel"/>
    <w:tmpl w:val="5A002B1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05036567"/>
    <w:multiLevelType w:val="hybridMultilevel"/>
    <w:tmpl w:val="BFDE412C"/>
    <w:lvl w:ilvl="0" w:tplc="33C696F2">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042C55"/>
    <w:multiLevelType w:val="hybridMultilevel"/>
    <w:tmpl w:val="0E9E2092"/>
    <w:lvl w:ilvl="0" w:tplc="E70420D6">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62E5149"/>
    <w:multiLevelType w:val="hybridMultilevel"/>
    <w:tmpl w:val="A60CBA72"/>
    <w:lvl w:ilvl="0" w:tplc="C6846096">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532C09"/>
    <w:multiLevelType w:val="hybridMultilevel"/>
    <w:tmpl w:val="345C0C02"/>
    <w:lvl w:ilvl="0" w:tplc="19680C06">
      <w:start w:val="1"/>
      <w:numFmt w:val="bullet"/>
      <w:lvlText w:val=""/>
      <w:lvlJc w:val="left"/>
      <w:pPr>
        <w:ind w:left="720" w:hanging="360"/>
      </w:pPr>
      <w:rPr>
        <w:rFonts w:ascii="Symbol" w:hAnsi="Symbol" w:hint="default"/>
        <w:color w:val="76923C"/>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0D61669E"/>
    <w:multiLevelType w:val="hybridMultilevel"/>
    <w:tmpl w:val="2B5CDECC"/>
    <w:lvl w:ilvl="0" w:tplc="CD6EA472">
      <w:start w:val="1"/>
      <w:numFmt w:val="bullet"/>
      <w:lvlText w:val=""/>
      <w:lvlJc w:val="left"/>
      <w:pPr>
        <w:ind w:left="720" w:hanging="360"/>
      </w:pPr>
      <w:rPr>
        <w:rFonts w:ascii="Symbol" w:hAnsi="Symbol" w:hint="default"/>
        <w:color w:val="76923C"/>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0DE11415"/>
    <w:multiLevelType w:val="hybridMultilevel"/>
    <w:tmpl w:val="BD54B0EC"/>
    <w:lvl w:ilvl="0" w:tplc="C6846096">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FC80E33"/>
    <w:multiLevelType w:val="hybridMultilevel"/>
    <w:tmpl w:val="D9D2FD14"/>
    <w:lvl w:ilvl="0" w:tplc="A3EC3E58">
      <w:start w:val="1"/>
      <w:numFmt w:val="bullet"/>
      <w:lvlText w:val=""/>
      <w:lvlJc w:val="left"/>
      <w:pPr>
        <w:ind w:left="502"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10A629D"/>
    <w:multiLevelType w:val="hybridMultilevel"/>
    <w:tmpl w:val="FD10EFC4"/>
    <w:lvl w:ilvl="0" w:tplc="C6846096">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6FC05C4"/>
    <w:multiLevelType w:val="hybridMultilevel"/>
    <w:tmpl w:val="EA2E9858"/>
    <w:lvl w:ilvl="0" w:tplc="08090011">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82574EC"/>
    <w:multiLevelType w:val="hybridMultilevel"/>
    <w:tmpl w:val="4E0450DE"/>
    <w:lvl w:ilvl="0" w:tplc="A3906C4E">
      <w:start w:val="1"/>
      <w:numFmt w:val="lowerLetter"/>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F66538D"/>
    <w:multiLevelType w:val="hybridMultilevel"/>
    <w:tmpl w:val="F5B27996"/>
    <w:lvl w:ilvl="0" w:tplc="034CE7D0">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677096"/>
    <w:multiLevelType w:val="hybridMultilevel"/>
    <w:tmpl w:val="39D65308"/>
    <w:lvl w:ilvl="0" w:tplc="BEA2E380">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15B4DAB"/>
    <w:multiLevelType w:val="hybridMultilevel"/>
    <w:tmpl w:val="806C16E0"/>
    <w:lvl w:ilvl="0" w:tplc="C6846096">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E37A01"/>
    <w:multiLevelType w:val="hybridMultilevel"/>
    <w:tmpl w:val="8CC4C18A"/>
    <w:lvl w:ilvl="0" w:tplc="33C696F2">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8A32B9A"/>
    <w:multiLevelType w:val="hybridMultilevel"/>
    <w:tmpl w:val="99A6E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968308F"/>
    <w:multiLevelType w:val="hybridMultilevel"/>
    <w:tmpl w:val="F37C995A"/>
    <w:lvl w:ilvl="0" w:tplc="8A7C5986">
      <w:start w:val="1"/>
      <w:numFmt w:val="bullet"/>
      <w:lvlText w:val=""/>
      <w:lvlJc w:val="left"/>
      <w:pPr>
        <w:tabs>
          <w:tab w:val="num" w:pos="720"/>
        </w:tabs>
        <w:ind w:left="720" w:hanging="360"/>
      </w:pPr>
      <w:rPr>
        <w:rFonts w:ascii="Symbol" w:hAnsi="Symbol" w:hint="default"/>
        <w:color w:val="76923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9987799"/>
    <w:multiLevelType w:val="hybridMultilevel"/>
    <w:tmpl w:val="D632E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B005D19"/>
    <w:multiLevelType w:val="hybridMultilevel"/>
    <w:tmpl w:val="93EE8650"/>
    <w:lvl w:ilvl="0" w:tplc="23421B46">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B0D5AFF"/>
    <w:multiLevelType w:val="hybridMultilevel"/>
    <w:tmpl w:val="1B1C6F20"/>
    <w:lvl w:ilvl="0" w:tplc="23421B46">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BC61319"/>
    <w:multiLevelType w:val="hybridMultilevel"/>
    <w:tmpl w:val="2410BE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2C4575"/>
    <w:multiLevelType w:val="hybridMultilevel"/>
    <w:tmpl w:val="07442730"/>
    <w:lvl w:ilvl="0" w:tplc="CBEEE3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D654B6"/>
    <w:multiLevelType w:val="hybridMultilevel"/>
    <w:tmpl w:val="4F7CB720"/>
    <w:lvl w:ilvl="0" w:tplc="C6846096">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D2C220F"/>
    <w:multiLevelType w:val="hybridMultilevel"/>
    <w:tmpl w:val="5DD425AE"/>
    <w:lvl w:ilvl="0" w:tplc="23421B46">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32D095F"/>
    <w:multiLevelType w:val="hybridMultilevel"/>
    <w:tmpl w:val="F67EDD08"/>
    <w:lvl w:ilvl="0" w:tplc="6922BB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36B5486"/>
    <w:multiLevelType w:val="hybridMultilevel"/>
    <w:tmpl w:val="5922CA86"/>
    <w:lvl w:ilvl="0" w:tplc="33C696F2">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51C339A"/>
    <w:multiLevelType w:val="hybridMultilevel"/>
    <w:tmpl w:val="BEA8E42E"/>
    <w:lvl w:ilvl="0" w:tplc="03C61550">
      <w:start w:val="1"/>
      <w:numFmt w:val="bullet"/>
      <w:lvlText w:val=""/>
      <w:lvlJc w:val="left"/>
      <w:pPr>
        <w:ind w:left="780" w:hanging="360"/>
      </w:pPr>
      <w:rPr>
        <w:rFonts w:ascii="Symbol" w:hAnsi="Symbol" w:hint="default"/>
        <w:color w:val="76923C"/>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nsid w:val="362F755B"/>
    <w:multiLevelType w:val="hybridMultilevel"/>
    <w:tmpl w:val="ACA6CD9E"/>
    <w:lvl w:ilvl="0" w:tplc="A0D21BAC">
      <w:start w:val="1"/>
      <w:numFmt w:val="bullet"/>
      <w:lvlText w:val=""/>
      <w:lvlJc w:val="left"/>
      <w:pPr>
        <w:ind w:left="360" w:hanging="360"/>
      </w:pPr>
      <w:rPr>
        <w:rFonts w:ascii="Symbol" w:hAnsi="Symbol" w:hint="default"/>
        <w:color w:val="76923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37905183"/>
    <w:multiLevelType w:val="hybridMultilevel"/>
    <w:tmpl w:val="BB145CE6"/>
    <w:lvl w:ilvl="0" w:tplc="33C696F2">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C595E49"/>
    <w:multiLevelType w:val="hybridMultilevel"/>
    <w:tmpl w:val="E6E45066"/>
    <w:lvl w:ilvl="0" w:tplc="33C696F2">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C845877"/>
    <w:multiLevelType w:val="hybridMultilevel"/>
    <w:tmpl w:val="71BC9AA2"/>
    <w:lvl w:ilvl="0" w:tplc="33C696F2">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3833DAD"/>
    <w:multiLevelType w:val="hybridMultilevel"/>
    <w:tmpl w:val="D2D259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62A0DD8"/>
    <w:multiLevelType w:val="hybridMultilevel"/>
    <w:tmpl w:val="2618C9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8C61C70"/>
    <w:multiLevelType w:val="hybridMultilevel"/>
    <w:tmpl w:val="11180B82"/>
    <w:lvl w:ilvl="0" w:tplc="EA36E07C">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AC11699"/>
    <w:multiLevelType w:val="hybridMultilevel"/>
    <w:tmpl w:val="96722A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4C8C5224"/>
    <w:multiLevelType w:val="hybridMultilevel"/>
    <w:tmpl w:val="91CCA880"/>
    <w:lvl w:ilvl="0" w:tplc="23421B46">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D5D3791"/>
    <w:multiLevelType w:val="hybridMultilevel"/>
    <w:tmpl w:val="C86448BC"/>
    <w:lvl w:ilvl="0" w:tplc="33C696F2">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DD0653D"/>
    <w:multiLevelType w:val="hybridMultilevel"/>
    <w:tmpl w:val="4D30953A"/>
    <w:lvl w:ilvl="0" w:tplc="33C696F2">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F3622F3"/>
    <w:multiLevelType w:val="hybridMultilevel"/>
    <w:tmpl w:val="E0AA6E8E"/>
    <w:lvl w:ilvl="0" w:tplc="CDF48FC6">
      <w:start w:val="1"/>
      <w:numFmt w:val="bullet"/>
      <w:lvlText w:val=""/>
      <w:lvlJc w:val="left"/>
      <w:pPr>
        <w:ind w:left="720" w:hanging="360"/>
      </w:pPr>
      <w:rPr>
        <w:rFonts w:ascii="Symbol" w:hAnsi="Symbol" w:hint="default"/>
        <w:color w:val="00ACA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FDC7A38"/>
    <w:multiLevelType w:val="hybridMultilevel"/>
    <w:tmpl w:val="39ACD5DE"/>
    <w:lvl w:ilvl="0" w:tplc="39224F64">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FE53DD8"/>
    <w:multiLevelType w:val="hybridMultilevel"/>
    <w:tmpl w:val="AF4698F6"/>
    <w:lvl w:ilvl="0" w:tplc="C1AED79E">
      <w:start w:val="1"/>
      <w:numFmt w:val="bullet"/>
      <w:lvlText w:val=""/>
      <w:lvlJc w:val="left"/>
      <w:pPr>
        <w:ind w:left="720" w:hanging="360"/>
      </w:pPr>
      <w:rPr>
        <w:rFonts w:ascii="Symbol" w:hAnsi="Symbol" w:hint="default"/>
        <w:color w:val="76923C"/>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4">
    <w:nsid w:val="517256B5"/>
    <w:multiLevelType w:val="hybridMultilevel"/>
    <w:tmpl w:val="22E04728"/>
    <w:lvl w:ilvl="0" w:tplc="554244D2">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1A31350"/>
    <w:multiLevelType w:val="hybridMultilevel"/>
    <w:tmpl w:val="884AE9A2"/>
    <w:lvl w:ilvl="0" w:tplc="8E749316">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35E05AD"/>
    <w:multiLevelType w:val="hybridMultilevel"/>
    <w:tmpl w:val="E80CBCEA"/>
    <w:lvl w:ilvl="0" w:tplc="33C696F2">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4237890"/>
    <w:multiLevelType w:val="hybridMultilevel"/>
    <w:tmpl w:val="8C02AB22"/>
    <w:lvl w:ilvl="0" w:tplc="B3F66F46">
      <w:start w:val="1"/>
      <w:numFmt w:val="bullet"/>
      <w:lvlText w:val=""/>
      <w:lvlJc w:val="left"/>
      <w:pPr>
        <w:ind w:left="720" w:hanging="360"/>
      </w:pPr>
      <w:rPr>
        <w:rFonts w:ascii="Symbol" w:hAnsi="Symbol" w:hint="default"/>
        <w:color w:val="76923C"/>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8">
    <w:nsid w:val="54823FC5"/>
    <w:multiLevelType w:val="hybridMultilevel"/>
    <w:tmpl w:val="48623F06"/>
    <w:lvl w:ilvl="0" w:tplc="33C696F2">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48E2047"/>
    <w:multiLevelType w:val="hybridMultilevel"/>
    <w:tmpl w:val="16922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55514062"/>
    <w:multiLevelType w:val="hybridMultilevel"/>
    <w:tmpl w:val="A50A1F0A"/>
    <w:lvl w:ilvl="0" w:tplc="33C696F2">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56B30A1"/>
    <w:multiLevelType w:val="hybridMultilevel"/>
    <w:tmpl w:val="CF942082"/>
    <w:lvl w:ilvl="0" w:tplc="33C696F2">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6472E17"/>
    <w:multiLevelType w:val="hybridMultilevel"/>
    <w:tmpl w:val="AAB46D04"/>
    <w:lvl w:ilvl="0" w:tplc="C6846096">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59C5368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nsid w:val="5A01344C"/>
    <w:multiLevelType w:val="hybridMultilevel"/>
    <w:tmpl w:val="2D86B968"/>
    <w:lvl w:ilvl="0" w:tplc="33C696F2">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C6C6AED"/>
    <w:multiLevelType w:val="hybridMultilevel"/>
    <w:tmpl w:val="5DB8E8C8"/>
    <w:lvl w:ilvl="0" w:tplc="33C696F2">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5DEA188E"/>
    <w:multiLevelType w:val="hybridMultilevel"/>
    <w:tmpl w:val="8668E6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5E2B5182"/>
    <w:multiLevelType w:val="hybridMultilevel"/>
    <w:tmpl w:val="4EBCD7D8"/>
    <w:lvl w:ilvl="0" w:tplc="33C696F2">
      <w:start w:val="1"/>
      <w:numFmt w:val="bullet"/>
      <w:lvlText w:val=""/>
      <w:lvlJc w:val="left"/>
      <w:pPr>
        <w:ind w:left="1080" w:hanging="360"/>
      </w:pPr>
      <w:rPr>
        <w:rFonts w:ascii="Symbol" w:hAnsi="Symbol" w:hint="default"/>
        <w:color w:val="76923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nsid w:val="5F7E218F"/>
    <w:multiLevelType w:val="hybridMultilevel"/>
    <w:tmpl w:val="A5984140"/>
    <w:lvl w:ilvl="0" w:tplc="A596E208">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18D2CAE"/>
    <w:multiLevelType w:val="hybridMultilevel"/>
    <w:tmpl w:val="B2FAD6F6"/>
    <w:lvl w:ilvl="0" w:tplc="33C696F2">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62CE42E1"/>
    <w:multiLevelType w:val="multilevel"/>
    <w:tmpl w:val="51EA154E"/>
    <w:name w:val="seq1"/>
    <w:lvl w:ilvl="0">
      <w:start w:val="1"/>
      <w:numFmt w:val="decimal"/>
      <w:pStyle w:val="N1"/>
      <w:suff w:val="nothing"/>
      <w:lvlText w:val="%1."/>
      <w:lvlJc w:val="left"/>
      <w:pPr>
        <w:tabs>
          <w:tab w:val="num" w:pos="190"/>
        </w:tabs>
        <w:ind w:left="-17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63020615"/>
    <w:multiLevelType w:val="hybridMultilevel"/>
    <w:tmpl w:val="9B1E3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6356394B"/>
    <w:multiLevelType w:val="hybridMultilevel"/>
    <w:tmpl w:val="5B728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nsid w:val="636C7846"/>
    <w:multiLevelType w:val="hybridMultilevel"/>
    <w:tmpl w:val="12967026"/>
    <w:lvl w:ilvl="0" w:tplc="33C696F2">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63BA35C8"/>
    <w:multiLevelType w:val="hybridMultilevel"/>
    <w:tmpl w:val="6F4C53B6"/>
    <w:lvl w:ilvl="0" w:tplc="07C09682">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4F138E5"/>
    <w:multiLevelType w:val="hybridMultilevel"/>
    <w:tmpl w:val="8160D3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671D0DC5"/>
    <w:multiLevelType w:val="hybridMultilevel"/>
    <w:tmpl w:val="FFC6D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683A3B8B"/>
    <w:multiLevelType w:val="hybridMultilevel"/>
    <w:tmpl w:val="29F27DDA"/>
    <w:lvl w:ilvl="0" w:tplc="33C696F2">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9843F21"/>
    <w:multiLevelType w:val="hybridMultilevel"/>
    <w:tmpl w:val="39D6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6CD97D30"/>
    <w:multiLevelType w:val="hybridMultilevel"/>
    <w:tmpl w:val="D4123664"/>
    <w:lvl w:ilvl="0" w:tplc="C6846096">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6CEC6A5A"/>
    <w:multiLevelType w:val="hybridMultilevel"/>
    <w:tmpl w:val="0F5A5D30"/>
    <w:lvl w:ilvl="0" w:tplc="33C696F2">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6F072627"/>
    <w:multiLevelType w:val="hybridMultilevel"/>
    <w:tmpl w:val="6DA4B75E"/>
    <w:lvl w:ilvl="0" w:tplc="33C696F2">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6FA71BB8"/>
    <w:multiLevelType w:val="hybridMultilevel"/>
    <w:tmpl w:val="FD8CA124"/>
    <w:lvl w:ilvl="0" w:tplc="33C696F2">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6FFC6A44"/>
    <w:multiLevelType w:val="hybridMultilevel"/>
    <w:tmpl w:val="6D7A46F2"/>
    <w:lvl w:ilvl="0" w:tplc="C6846096">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70AD7DE4"/>
    <w:multiLevelType w:val="hybridMultilevel"/>
    <w:tmpl w:val="F6AE0A4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712972F1"/>
    <w:multiLevelType w:val="multilevel"/>
    <w:tmpl w:val="DF92A36A"/>
    <w:lvl w:ilvl="0">
      <w:start w:val="1"/>
      <w:numFmt w:val="decimal"/>
      <w:lvlText w:val="%1."/>
      <w:lvlJc w:val="left"/>
      <w:pPr>
        <w:ind w:left="360" w:hanging="360"/>
      </w:pPr>
      <w:rPr>
        <w:rFonts w:eastAsia="Century Schoolbook" w:hint="default"/>
        <w:color w:val="auto"/>
      </w:rPr>
    </w:lvl>
    <w:lvl w:ilvl="1">
      <w:start w:val="1"/>
      <w:numFmt w:val="decimal"/>
      <w:isLgl/>
      <w:lvlText w:val="%1.%2"/>
      <w:lvlJc w:val="left"/>
      <w:pPr>
        <w:ind w:left="284"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nsid w:val="7254619C"/>
    <w:multiLevelType w:val="hybridMultilevel"/>
    <w:tmpl w:val="BB728C8A"/>
    <w:lvl w:ilvl="0" w:tplc="03C61550">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8511B41"/>
    <w:multiLevelType w:val="hybridMultilevel"/>
    <w:tmpl w:val="12301648"/>
    <w:lvl w:ilvl="0" w:tplc="2BA4B450">
      <w:start w:val="1"/>
      <w:numFmt w:val="bullet"/>
      <w:lvlText w:val=""/>
      <w:lvlJc w:val="left"/>
      <w:pPr>
        <w:ind w:left="360" w:hanging="360"/>
      </w:pPr>
      <w:rPr>
        <w:rFonts w:ascii="Symbol" w:hAnsi="Symbol" w:hint="default"/>
        <w:color w:val="76923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nsid w:val="7A7E0DD6"/>
    <w:multiLevelType w:val="hybridMultilevel"/>
    <w:tmpl w:val="CC36D5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nsid w:val="7D335F4C"/>
    <w:multiLevelType w:val="hybridMultilevel"/>
    <w:tmpl w:val="D0A021E8"/>
    <w:lvl w:ilvl="0" w:tplc="33C696F2">
      <w:start w:val="1"/>
      <w:numFmt w:val="bullet"/>
      <w:lvlText w:val=""/>
      <w:lvlJc w:val="left"/>
      <w:pPr>
        <w:ind w:left="720" w:hanging="360"/>
      </w:pPr>
      <w:rPr>
        <w:rFonts w:ascii="Symbol" w:hAnsi="Symbol" w:hint="default"/>
        <w:color w:val="76923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6"/>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6"/>
  </w:num>
  <w:num w:numId="8">
    <w:abstractNumId w:val="64"/>
  </w:num>
  <w:num w:numId="9">
    <w:abstractNumId w:val="2"/>
  </w:num>
  <w:num w:numId="10">
    <w:abstractNumId w:val="3"/>
  </w:num>
  <w:num w:numId="1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10"/>
  </w:num>
  <w:num w:numId="14">
    <w:abstractNumId w:val="37"/>
  </w:num>
  <w:num w:numId="15">
    <w:abstractNumId w:val="75"/>
  </w:num>
  <w:num w:numId="16">
    <w:abstractNumId w:val="5"/>
  </w:num>
  <w:num w:numId="17">
    <w:abstractNumId w:val="14"/>
  </w:num>
  <w:num w:numId="18">
    <w:abstractNumId w:val="58"/>
  </w:num>
  <w:num w:numId="19">
    <w:abstractNumId w:val="42"/>
  </w:num>
  <w:num w:numId="20">
    <w:abstractNumId w:val="53"/>
  </w:num>
  <w:num w:numId="21">
    <w:abstractNumId w:val="77"/>
  </w:num>
  <w:num w:numId="22">
    <w:abstractNumId w:val="30"/>
  </w:num>
  <w:num w:numId="23">
    <w:abstractNumId w:val="27"/>
  </w:num>
  <w:num w:numId="24">
    <w:abstractNumId w:val="61"/>
  </w:num>
  <w:num w:numId="25">
    <w:abstractNumId w:val="49"/>
  </w:num>
  <w:num w:numId="26">
    <w:abstractNumId w:val="19"/>
  </w:num>
  <w:num w:numId="27">
    <w:abstractNumId w:val="45"/>
  </w:num>
  <w:num w:numId="28">
    <w:abstractNumId w:val="48"/>
  </w:num>
  <w:num w:numId="29">
    <w:abstractNumId w:val="4"/>
  </w:num>
  <w:num w:numId="30">
    <w:abstractNumId w:val="79"/>
  </w:num>
  <w:num w:numId="31">
    <w:abstractNumId w:val="67"/>
  </w:num>
  <w:num w:numId="32">
    <w:abstractNumId w:val="55"/>
  </w:num>
  <w:num w:numId="33">
    <w:abstractNumId w:val="74"/>
  </w:num>
  <w:num w:numId="34">
    <w:abstractNumId w:val="50"/>
  </w:num>
  <w:num w:numId="35">
    <w:abstractNumId w:val="51"/>
  </w:num>
  <w:num w:numId="36">
    <w:abstractNumId w:val="40"/>
  </w:num>
  <w:num w:numId="37">
    <w:abstractNumId w:val="63"/>
  </w:num>
  <w:num w:numId="38">
    <w:abstractNumId w:val="70"/>
  </w:num>
  <w:num w:numId="39">
    <w:abstractNumId w:val="28"/>
  </w:num>
  <w:num w:numId="40">
    <w:abstractNumId w:val="32"/>
  </w:num>
  <w:num w:numId="41">
    <w:abstractNumId w:val="71"/>
  </w:num>
  <w:num w:numId="42">
    <w:abstractNumId w:val="78"/>
  </w:num>
  <w:num w:numId="43">
    <w:abstractNumId w:val="57"/>
  </w:num>
  <w:num w:numId="44">
    <w:abstractNumId w:val="54"/>
  </w:num>
  <w:num w:numId="45">
    <w:abstractNumId w:val="39"/>
  </w:num>
  <w:num w:numId="46">
    <w:abstractNumId w:val="17"/>
  </w:num>
  <w:num w:numId="47">
    <w:abstractNumId w:val="65"/>
  </w:num>
  <w:num w:numId="48">
    <w:abstractNumId w:val="31"/>
  </w:num>
  <w:num w:numId="49">
    <w:abstractNumId w:val="33"/>
  </w:num>
  <w:num w:numId="50">
    <w:abstractNumId w:val="72"/>
  </w:num>
  <w:num w:numId="51">
    <w:abstractNumId w:val="46"/>
  </w:num>
  <w:num w:numId="52">
    <w:abstractNumId w:val="23"/>
  </w:num>
  <w:num w:numId="53">
    <w:abstractNumId w:val="59"/>
  </w:num>
  <w:num w:numId="54">
    <w:abstractNumId w:val="25"/>
  </w:num>
  <w:num w:numId="55">
    <w:abstractNumId w:val="6"/>
  </w:num>
  <w:num w:numId="56">
    <w:abstractNumId w:val="16"/>
  </w:num>
  <w:num w:numId="57">
    <w:abstractNumId w:val="9"/>
  </w:num>
  <w:num w:numId="58">
    <w:abstractNumId w:val="0"/>
  </w:num>
  <w:num w:numId="59">
    <w:abstractNumId w:val="52"/>
  </w:num>
  <w:num w:numId="60">
    <w:abstractNumId w:val="1"/>
  </w:num>
  <w:num w:numId="61">
    <w:abstractNumId w:val="73"/>
  </w:num>
  <w:num w:numId="62">
    <w:abstractNumId w:val="11"/>
  </w:num>
  <w:num w:numId="63">
    <w:abstractNumId w:val="69"/>
  </w:num>
  <w:num w:numId="64">
    <w:abstractNumId w:val="35"/>
  </w:num>
  <w:num w:numId="65">
    <w:abstractNumId w:val="13"/>
  </w:num>
  <w:num w:numId="66">
    <w:abstractNumId w:val="24"/>
  </w:num>
  <w:num w:numId="67">
    <w:abstractNumId w:val="26"/>
  </w:num>
  <w:num w:numId="68">
    <w:abstractNumId w:val="21"/>
  </w:num>
  <w:num w:numId="69">
    <w:abstractNumId w:val="38"/>
  </w:num>
  <w:num w:numId="70">
    <w:abstractNumId w:val="22"/>
  </w:num>
  <w:num w:numId="71">
    <w:abstractNumId w:val="62"/>
  </w:num>
  <w:num w:numId="72">
    <w:abstractNumId w:val="44"/>
  </w:num>
  <w:num w:numId="73">
    <w:abstractNumId w:val="18"/>
  </w:num>
  <w:num w:numId="74">
    <w:abstractNumId w:val="20"/>
  </w:num>
  <w:num w:numId="75">
    <w:abstractNumId w:val="68"/>
  </w:num>
  <w:num w:numId="76">
    <w:abstractNumId w:val="66"/>
  </w:num>
  <w:num w:numId="77">
    <w:abstractNumId w:val="41"/>
  </w:num>
  <w:num w:numId="78">
    <w:abstractNumId w:val="34"/>
  </w:num>
  <w:num w:numId="79">
    <w:abstractNumId w:val="29"/>
  </w:num>
  <w:num w:numId="80">
    <w:abstractNumId w:val="1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trackRevisions/>
  <w:defaultTabStop w:val="720"/>
  <w:defaultTableStyle w:val="DefraGreen1"/>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F28"/>
    <w:rsid w:val="00002037"/>
    <w:rsid w:val="00004325"/>
    <w:rsid w:val="00005B81"/>
    <w:rsid w:val="00005BD6"/>
    <w:rsid w:val="00012E75"/>
    <w:rsid w:val="00013A84"/>
    <w:rsid w:val="00013B81"/>
    <w:rsid w:val="00016E4D"/>
    <w:rsid w:val="00021860"/>
    <w:rsid w:val="00021F7A"/>
    <w:rsid w:val="00023DF9"/>
    <w:rsid w:val="00025DD0"/>
    <w:rsid w:val="00027E28"/>
    <w:rsid w:val="00031168"/>
    <w:rsid w:val="0003117B"/>
    <w:rsid w:val="00035191"/>
    <w:rsid w:val="00036BC8"/>
    <w:rsid w:val="0004141E"/>
    <w:rsid w:val="000470BB"/>
    <w:rsid w:val="000503A7"/>
    <w:rsid w:val="00052C2A"/>
    <w:rsid w:val="000537A9"/>
    <w:rsid w:val="0005508E"/>
    <w:rsid w:val="00055109"/>
    <w:rsid w:val="00056B99"/>
    <w:rsid w:val="00061AEB"/>
    <w:rsid w:val="00072638"/>
    <w:rsid w:val="000753C8"/>
    <w:rsid w:val="00080BC6"/>
    <w:rsid w:val="00081EFB"/>
    <w:rsid w:val="00083964"/>
    <w:rsid w:val="0008423E"/>
    <w:rsid w:val="00084426"/>
    <w:rsid w:val="00090F3C"/>
    <w:rsid w:val="000A3AF2"/>
    <w:rsid w:val="000A3F0F"/>
    <w:rsid w:val="000A6F8E"/>
    <w:rsid w:val="000B1C70"/>
    <w:rsid w:val="000C5812"/>
    <w:rsid w:val="000D5312"/>
    <w:rsid w:val="000D7117"/>
    <w:rsid w:val="000D737E"/>
    <w:rsid w:val="000D7F51"/>
    <w:rsid w:val="000E5B71"/>
    <w:rsid w:val="000E72EA"/>
    <w:rsid w:val="000F4777"/>
    <w:rsid w:val="000F4EC0"/>
    <w:rsid w:val="000F73AA"/>
    <w:rsid w:val="00103388"/>
    <w:rsid w:val="00113414"/>
    <w:rsid w:val="001137A1"/>
    <w:rsid w:val="0011639F"/>
    <w:rsid w:val="00116F28"/>
    <w:rsid w:val="001221A4"/>
    <w:rsid w:val="0012629F"/>
    <w:rsid w:val="001271D7"/>
    <w:rsid w:val="001276A9"/>
    <w:rsid w:val="00130B7B"/>
    <w:rsid w:val="00131C4B"/>
    <w:rsid w:val="00132B93"/>
    <w:rsid w:val="00137654"/>
    <w:rsid w:val="00141D54"/>
    <w:rsid w:val="00144FF8"/>
    <w:rsid w:val="00146A15"/>
    <w:rsid w:val="0015094A"/>
    <w:rsid w:val="00150C3D"/>
    <w:rsid w:val="00151A25"/>
    <w:rsid w:val="001526F1"/>
    <w:rsid w:val="00152B30"/>
    <w:rsid w:val="00164C52"/>
    <w:rsid w:val="00177307"/>
    <w:rsid w:val="00180262"/>
    <w:rsid w:val="0018484E"/>
    <w:rsid w:val="001876FF"/>
    <w:rsid w:val="001909E1"/>
    <w:rsid w:val="001927DA"/>
    <w:rsid w:val="001B2474"/>
    <w:rsid w:val="001B3AC7"/>
    <w:rsid w:val="001B46F9"/>
    <w:rsid w:val="001B6D2F"/>
    <w:rsid w:val="001C17D8"/>
    <w:rsid w:val="001C5116"/>
    <w:rsid w:val="001D2D65"/>
    <w:rsid w:val="001D2F48"/>
    <w:rsid w:val="001D568F"/>
    <w:rsid w:val="001D6FF1"/>
    <w:rsid w:val="001D7065"/>
    <w:rsid w:val="001E1406"/>
    <w:rsid w:val="001E2939"/>
    <w:rsid w:val="001E636F"/>
    <w:rsid w:val="001F318F"/>
    <w:rsid w:val="001F5783"/>
    <w:rsid w:val="001F7397"/>
    <w:rsid w:val="00200E16"/>
    <w:rsid w:val="00205FC8"/>
    <w:rsid w:val="002062D2"/>
    <w:rsid w:val="0021476D"/>
    <w:rsid w:val="002200AF"/>
    <w:rsid w:val="00222BDA"/>
    <w:rsid w:val="0023258D"/>
    <w:rsid w:val="00236BD9"/>
    <w:rsid w:val="00240A06"/>
    <w:rsid w:val="00241D7D"/>
    <w:rsid w:val="00241F9E"/>
    <w:rsid w:val="00253361"/>
    <w:rsid w:val="00257D8F"/>
    <w:rsid w:val="00261727"/>
    <w:rsid w:val="002622B8"/>
    <w:rsid w:val="00263B93"/>
    <w:rsid w:val="00263C28"/>
    <w:rsid w:val="0027646D"/>
    <w:rsid w:val="00277DF0"/>
    <w:rsid w:val="002841A8"/>
    <w:rsid w:val="00284418"/>
    <w:rsid w:val="002853B4"/>
    <w:rsid w:val="00285DDF"/>
    <w:rsid w:val="00290236"/>
    <w:rsid w:val="00297129"/>
    <w:rsid w:val="002A0E7B"/>
    <w:rsid w:val="002A578C"/>
    <w:rsid w:val="002A7CFD"/>
    <w:rsid w:val="002B1436"/>
    <w:rsid w:val="002B1E22"/>
    <w:rsid w:val="002B347B"/>
    <w:rsid w:val="002B6772"/>
    <w:rsid w:val="002C558D"/>
    <w:rsid w:val="002D2A4E"/>
    <w:rsid w:val="002D7D58"/>
    <w:rsid w:val="002E30ED"/>
    <w:rsid w:val="002E376C"/>
    <w:rsid w:val="002E4FC0"/>
    <w:rsid w:val="002E7209"/>
    <w:rsid w:val="002F1F5A"/>
    <w:rsid w:val="002F21A2"/>
    <w:rsid w:val="002F42F6"/>
    <w:rsid w:val="002F4871"/>
    <w:rsid w:val="002F6CDA"/>
    <w:rsid w:val="00301DAE"/>
    <w:rsid w:val="003038C5"/>
    <w:rsid w:val="00304F77"/>
    <w:rsid w:val="0030601E"/>
    <w:rsid w:val="00307A05"/>
    <w:rsid w:val="00311927"/>
    <w:rsid w:val="00313C02"/>
    <w:rsid w:val="00316023"/>
    <w:rsid w:val="00321BF9"/>
    <w:rsid w:val="00324B00"/>
    <w:rsid w:val="00334698"/>
    <w:rsid w:val="0034262D"/>
    <w:rsid w:val="0035005D"/>
    <w:rsid w:val="003523CE"/>
    <w:rsid w:val="00356333"/>
    <w:rsid w:val="00362295"/>
    <w:rsid w:val="00373513"/>
    <w:rsid w:val="00377A7E"/>
    <w:rsid w:val="003808B9"/>
    <w:rsid w:val="00382064"/>
    <w:rsid w:val="003851C4"/>
    <w:rsid w:val="00391151"/>
    <w:rsid w:val="003935ED"/>
    <w:rsid w:val="0039508D"/>
    <w:rsid w:val="003A292A"/>
    <w:rsid w:val="003A52FF"/>
    <w:rsid w:val="003A6346"/>
    <w:rsid w:val="003A751D"/>
    <w:rsid w:val="003B1BB6"/>
    <w:rsid w:val="003B1F0F"/>
    <w:rsid w:val="003C03E4"/>
    <w:rsid w:val="003C530C"/>
    <w:rsid w:val="003D08E1"/>
    <w:rsid w:val="003D0C64"/>
    <w:rsid w:val="003D1E45"/>
    <w:rsid w:val="003D66F6"/>
    <w:rsid w:val="003D72C9"/>
    <w:rsid w:val="003D753C"/>
    <w:rsid w:val="003D7F53"/>
    <w:rsid w:val="003E1DCA"/>
    <w:rsid w:val="003E602E"/>
    <w:rsid w:val="003E661B"/>
    <w:rsid w:val="003E726B"/>
    <w:rsid w:val="003F15FB"/>
    <w:rsid w:val="003F50D6"/>
    <w:rsid w:val="003F5A5E"/>
    <w:rsid w:val="003F711F"/>
    <w:rsid w:val="003F7294"/>
    <w:rsid w:val="00404BE6"/>
    <w:rsid w:val="0040731C"/>
    <w:rsid w:val="00410F08"/>
    <w:rsid w:val="00413D30"/>
    <w:rsid w:val="0041599A"/>
    <w:rsid w:val="00415D43"/>
    <w:rsid w:val="00416B17"/>
    <w:rsid w:val="00421A25"/>
    <w:rsid w:val="00421E1A"/>
    <w:rsid w:val="0042228E"/>
    <w:rsid w:val="004267C2"/>
    <w:rsid w:val="00430D17"/>
    <w:rsid w:val="00431D36"/>
    <w:rsid w:val="0043391E"/>
    <w:rsid w:val="004407C8"/>
    <w:rsid w:val="00440FF7"/>
    <w:rsid w:val="00441415"/>
    <w:rsid w:val="0044276F"/>
    <w:rsid w:val="00445706"/>
    <w:rsid w:val="00446A57"/>
    <w:rsid w:val="00447434"/>
    <w:rsid w:val="004544C6"/>
    <w:rsid w:val="004545C1"/>
    <w:rsid w:val="00461437"/>
    <w:rsid w:val="00463AC7"/>
    <w:rsid w:val="00464802"/>
    <w:rsid w:val="00465E20"/>
    <w:rsid w:val="004662AE"/>
    <w:rsid w:val="00474AB3"/>
    <w:rsid w:val="00477646"/>
    <w:rsid w:val="0047775F"/>
    <w:rsid w:val="004836CF"/>
    <w:rsid w:val="00485BA9"/>
    <w:rsid w:val="004B05B3"/>
    <w:rsid w:val="004B2318"/>
    <w:rsid w:val="004B2E2A"/>
    <w:rsid w:val="004B7973"/>
    <w:rsid w:val="004C0F15"/>
    <w:rsid w:val="004C1E2D"/>
    <w:rsid w:val="004D2901"/>
    <w:rsid w:val="004D6509"/>
    <w:rsid w:val="004E26F3"/>
    <w:rsid w:val="004E273C"/>
    <w:rsid w:val="004E4394"/>
    <w:rsid w:val="004F133D"/>
    <w:rsid w:val="005001FF"/>
    <w:rsid w:val="00503540"/>
    <w:rsid w:val="0050716C"/>
    <w:rsid w:val="00510550"/>
    <w:rsid w:val="0051375C"/>
    <w:rsid w:val="00513E0F"/>
    <w:rsid w:val="005230D2"/>
    <w:rsid w:val="005251D8"/>
    <w:rsid w:val="00525F34"/>
    <w:rsid w:val="0053032B"/>
    <w:rsid w:val="00532C4B"/>
    <w:rsid w:val="00543D88"/>
    <w:rsid w:val="0054730D"/>
    <w:rsid w:val="00553F30"/>
    <w:rsid w:val="00554903"/>
    <w:rsid w:val="00560546"/>
    <w:rsid w:val="005611F6"/>
    <w:rsid w:val="00562032"/>
    <w:rsid w:val="005669A8"/>
    <w:rsid w:val="005711FB"/>
    <w:rsid w:val="00577D1B"/>
    <w:rsid w:val="00577E2E"/>
    <w:rsid w:val="005813B0"/>
    <w:rsid w:val="0058556A"/>
    <w:rsid w:val="0059024D"/>
    <w:rsid w:val="005920B5"/>
    <w:rsid w:val="00596E11"/>
    <w:rsid w:val="005A40B3"/>
    <w:rsid w:val="005A46F8"/>
    <w:rsid w:val="005A5CB5"/>
    <w:rsid w:val="005A78D9"/>
    <w:rsid w:val="005A7970"/>
    <w:rsid w:val="005B04C3"/>
    <w:rsid w:val="005B214E"/>
    <w:rsid w:val="005B2D0C"/>
    <w:rsid w:val="005B3887"/>
    <w:rsid w:val="005B468D"/>
    <w:rsid w:val="005B6B05"/>
    <w:rsid w:val="005C01B6"/>
    <w:rsid w:val="005C0F87"/>
    <w:rsid w:val="005C5EAF"/>
    <w:rsid w:val="005D1B78"/>
    <w:rsid w:val="005D2115"/>
    <w:rsid w:val="005D6C5C"/>
    <w:rsid w:val="005D6D80"/>
    <w:rsid w:val="005E0E2C"/>
    <w:rsid w:val="005E16E3"/>
    <w:rsid w:val="005E6B7E"/>
    <w:rsid w:val="005F14FC"/>
    <w:rsid w:val="005F7EB7"/>
    <w:rsid w:val="0060156B"/>
    <w:rsid w:val="00604F20"/>
    <w:rsid w:val="006105F6"/>
    <w:rsid w:val="0061102C"/>
    <w:rsid w:val="00612791"/>
    <w:rsid w:val="006146BB"/>
    <w:rsid w:val="0061587C"/>
    <w:rsid w:val="00617B61"/>
    <w:rsid w:val="00621BE0"/>
    <w:rsid w:val="00624B71"/>
    <w:rsid w:val="00631162"/>
    <w:rsid w:val="00634AF2"/>
    <w:rsid w:val="00635659"/>
    <w:rsid w:val="00635709"/>
    <w:rsid w:val="00636F03"/>
    <w:rsid w:val="00637E55"/>
    <w:rsid w:val="00642F07"/>
    <w:rsid w:val="00651968"/>
    <w:rsid w:val="0065310A"/>
    <w:rsid w:val="00653C68"/>
    <w:rsid w:val="00653F94"/>
    <w:rsid w:val="00654EF5"/>
    <w:rsid w:val="00661220"/>
    <w:rsid w:val="0066199D"/>
    <w:rsid w:val="00664189"/>
    <w:rsid w:val="00664A4C"/>
    <w:rsid w:val="00673A0C"/>
    <w:rsid w:val="0067452E"/>
    <w:rsid w:val="00680B4A"/>
    <w:rsid w:val="00681614"/>
    <w:rsid w:val="00683469"/>
    <w:rsid w:val="00685E60"/>
    <w:rsid w:val="00690A67"/>
    <w:rsid w:val="006920B6"/>
    <w:rsid w:val="00697ED8"/>
    <w:rsid w:val="006A1E73"/>
    <w:rsid w:val="006A3FC3"/>
    <w:rsid w:val="006A6A56"/>
    <w:rsid w:val="006A6CE3"/>
    <w:rsid w:val="006A6F12"/>
    <w:rsid w:val="006B265F"/>
    <w:rsid w:val="006B3BBB"/>
    <w:rsid w:val="006B3C34"/>
    <w:rsid w:val="006B6993"/>
    <w:rsid w:val="006C0918"/>
    <w:rsid w:val="006C52C4"/>
    <w:rsid w:val="006C59A3"/>
    <w:rsid w:val="006C7730"/>
    <w:rsid w:val="006D0CAE"/>
    <w:rsid w:val="006D1113"/>
    <w:rsid w:val="006D1AD7"/>
    <w:rsid w:val="006D3B2A"/>
    <w:rsid w:val="006E2718"/>
    <w:rsid w:val="006E2B03"/>
    <w:rsid w:val="006E4290"/>
    <w:rsid w:val="006E4395"/>
    <w:rsid w:val="006E5F9F"/>
    <w:rsid w:val="006E7AEA"/>
    <w:rsid w:val="006F580E"/>
    <w:rsid w:val="006F7789"/>
    <w:rsid w:val="007004A3"/>
    <w:rsid w:val="0070232F"/>
    <w:rsid w:val="00713632"/>
    <w:rsid w:val="00716A80"/>
    <w:rsid w:val="00720C71"/>
    <w:rsid w:val="00721641"/>
    <w:rsid w:val="00721F6B"/>
    <w:rsid w:val="00726EDB"/>
    <w:rsid w:val="00735F2F"/>
    <w:rsid w:val="00740FC2"/>
    <w:rsid w:val="007419CB"/>
    <w:rsid w:val="00741C91"/>
    <w:rsid w:val="00745906"/>
    <w:rsid w:val="00747F53"/>
    <w:rsid w:val="00755799"/>
    <w:rsid w:val="00755DB6"/>
    <w:rsid w:val="00756635"/>
    <w:rsid w:val="00760D5C"/>
    <w:rsid w:val="00761309"/>
    <w:rsid w:val="00761892"/>
    <w:rsid w:val="0076546E"/>
    <w:rsid w:val="00777AD7"/>
    <w:rsid w:val="007815D6"/>
    <w:rsid w:val="00781D28"/>
    <w:rsid w:val="007832A9"/>
    <w:rsid w:val="00786C26"/>
    <w:rsid w:val="00792C01"/>
    <w:rsid w:val="007944B7"/>
    <w:rsid w:val="007A045B"/>
    <w:rsid w:val="007A5421"/>
    <w:rsid w:val="007A6284"/>
    <w:rsid w:val="007B1D10"/>
    <w:rsid w:val="007B295C"/>
    <w:rsid w:val="007C0C40"/>
    <w:rsid w:val="007C6432"/>
    <w:rsid w:val="007C6C47"/>
    <w:rsid w:val="007D2582"/>
    <w:rsid w:val="007D3D41"/>
    <w:rsid w:val="007D7B97"/>
    <w:rsid w:val="007E435B"/>
    <w:rsid w:val="007E6C16"/>
    <w:rsid w:val="007F4FDA"/>
    <w:rsid w:val="007F66AA"/>
    <w:rsid w:val="00800F17"/>
    <w:rsid w:val="00803F69"/>
    <w:rsid w:val="0080557F"/>
    <w:rsid w:val="00807BD6"/>
    <w:rsid w:val="00807E61"/>
    <w:rsid w:val="008149DF"/>
    <w:rsid w:val="00815096"/>
    <w:rsid w:val="008168CA"/>
    <w:rsid w:val="00825CB6"/>
    <w:rsid w:val="00831CC7"/>
    <w:rsid w:val="008323DA"/>
    <w:rsid w:val="00834B77"/>
    <w:rsid w:val="008356D0"/>
    <w:rsid w:val="008361D4"/>
    <w:rsid w:val="00837113"/>
    <w:rsid w:val="00847705"/>
    <w:rsid w:val="0085611A"/>
    <w:rsid w:val="0085624C"/>
    <w:rsid w:val="00856855"/>
    <w:rsid w:val="00860216"/>
    <w:rsid w:val="0086258B"/>
    <w:rsid w:val="008719E9"/>
    <w:rsid w:val="00873F77"/>
    <w:rsid w:val="00874244"/>
    <w:rsid w:val="00875AE7"/>
    <w:rsid w:val="00876587"/>
    <w:rsid w:val="00876B9F"/>
    <w:rsid w:val="0088090B"/>
    <w:rsid w:val="00882016"/>
    <w:rsid w:val="008849CC"/>
    <w:rsid w:val="008930EC"/>
    <w:rsid w:val="0089440A"/>
    <w:rsid w:val="00895D71"/>
    <w:rsid w:val="00897C11"/>
    <w:rsid w:val="008A2E3C"/>
    <w:rsid w:val="008A769D"/>
    <w:rsid w:val="008B1A2E"/>
    <w:rsid w:val="008B2006"/>
    <w:rsid w:val="008B41A4"/>
    <w:rsid w:val="008B6251"/>
    <w:rsid w:val="008C0B21"/>
    <w:rsid w:val="008C1742"/>
    <w:rsid w:val="008C4481"/>
    <w:rsid w:val="008C6150"/>
    <w:rsid w:val="008D090C"/>
    <w:rsid w:val="008D0E9F"/>
    <w:rsid w:val="008E10B4"/>
    <w:rsid w:val="008F408B"/>
    <w:rsid w:val="008F432F"/>
    <w:rsid w:val="008F5687"/>
    <w:rsid w:val="008F6231"/>
    <w:rsid w:val="009013A2"/>
    <w:rsid w:val="00901660"/>
    <w:rsid w:val="00901989"/>
    <w:rsid w:val="00904792"/>
    <w:rsid w:val="00904FA2"/>
    <w:rsid w:val="00910E3F"/>
    <w:rsid w:val="00913351"/>
    <w:rsid w:val="00920255"/>
    <w:rsid w:val="00920733"/>
    <w:rsid w:val="00920B2B"/>
    <w:rsid w:val="00921DF8"/>
    <w:rsid w:val="00922E1F"/>
    <w:rsid w:val="00934567"/>
    <w:rsid w:val="00936FB0"/>
    <w:rsid w:val="0093780C"/>
    <w:rsid w:val="00937CDE"/>
    <w:rsid w:val="0094091E"/>
    <w:rsid w:val="0094524F"/>
    <w:rsid w:val="00947527"/>
    <w:rsid w:val="009833A1"/>
    <w:rsid w:val="0098367D"/>
    <w:rsid w:val="009877BE"/>
    <w:rsid w:val="00990C75"/>
    <w:rsid w:val="00991206"/>
    <w:rsid w:val="009A2FCC"/>
    <w:rsid w:val="009A3E51"/>
    <w:rsid w:val="009A57EA"/>
    <w:rsid w:val="009A6600"/>
    <w:rsid w:val="009A6745"/>
    <w:rsid w:val="009B18D2"/>
    <w:rsid w:val="009B3E9D"/>
    <w:rsid w:val="009B6BB9"/>
    <w:rsid w:val="009C0E93"/>
    <w:rsid w:val="009C1624"/>
    <w:rsid w:val="009C2102"/>
    <w:rsid w:val="009C4F8E"/>
    <w:rsid w:val="009C50FA"/>
    <w:rsid w:val="009C6F90"/>
    <w:rsid w:val="009C72E8"/>
    <w:rsid w:val="009D2564"/>
    <w:rsid w:val="009D4DE1"/>
    <w:rsid w:val="009E2846"/>
    <w:rsid w:val="009E4403"/>
    <w:rsid w:val="009E6323"/>
    <w:rsid w:val="009F32B2"/>
    <w:rsid w:val="009F3BA1"/>
    <w:rsid w:val="00A07E05"/>
    <w:rsid w:val="00A1711F"/>
    <w:rsid w:val="00A21EB0"/>
    <w:rsid w:val="00A26A7B"/>
    <w:rsid w:val="00A40368"/>
    <w:rsid w:val="00A406B3"/>
    <w:rsid w:val="00A430B2"/>
    <w:rsid w:val="00A44996"/>
    <w:rsid w:val="00A44CDB"/>
    <w:rsid w:val="00A44F28"/>
    <w:rsid w:val="00A4713A"/>
    <w:rsid w:val="00A474F2"/>
    <w:rsid w:val="00A47B4E"/>
    <w:rsid w:val="00A50FB1"/>
    <w:rsid w:val="00A528E8"/>
    <w:rsid w:val="00A53832"/>
    <w:rsid w:val="00A54A9D"/>
    <w:rsid w:val="00A61DB9"/>
    <w:rsid w:val="00A634D4"/>
    <w:rsid w:val="00A65AB8"/>
    <w:rsid w:val="00A67B12"/>
    <w:rsid w:val="00A81560"/>
    <w:rsid w:val="00A86308"/>
    <w:rsid w:val="00A905DB"/>
    <w:rsid w:val="00AA23E5"/>
    <w:rsid w:val="00AA2814"/>
    <w:rsid w:val="00AA48B1"/>
    <w:rsid w:val="00AA5265"/>
    <w:rsid w:val="00AB1AFF"/>
    <w:rsid w:val="00AC1E4B"/>
    <w:rsid w:val="00AC3296"/>
    <w:rsid w:val="00AC360C"/>
    <w:rsid w:val="00AC5B63"/>
    <w:rsid w:val="00AC6EF8"/>
    <w:rsid w:val="00AD1792"/>
    <w:rsid w:val="00AD3128"/>
    <w:rsid w:val="00AD6C1E"/>
    <w:rsid w:val="00AE2CC4"/>
    <w:rsid w:val="00AE432A"/>
    <w:rsid w:val="00AE68DC"/>
    <w:rsid w:val="00AF4C9D"/>
    <w:rsid w:val="00AF6433"/>
    <w:rsid w:val="00B023C5"/>
    <w:rsid w:val="00B05533"/>
    <w:rsid w:val="00B06EB1"/>
    <w:rsid w:val="00B14B33"/>
    <w:rsid w:val="00B14DFA"/>
    <w:rsid w:val="00B2148B"/>
    <w:rsid w:val="00B23427"/>
    <w:rsid w:val="00B3031A"/>
    <w:rsid w:val="00B345B6"/>
    <w:rsid w:val="00B37B26"/>
    <w:rsid w:val="00B42E74"/>
    <w:rsid w:val="00B4431C"/>
    <w:rsid w:val="00B47907"/>
    <w:rsid w:val="00B5058D"/>
    <w:rsid w:val="00B507D9"/>
    <w:rsid w:val="00B5236E"/>
    <w:rsid w:val="00B67E70"/>
    <w:rsid w:val="00B7346D"/>
    <w:rsid w:val="00B77E41"/>
    <w:rsid w:val="00B86405"/>
    <w:rsid w:val="00B90691"/>
    <w:rsid w:val="00B9579D"/>
    <w:rsid w:val="00BA21B7"/>
    <w:rsid w:val="00BA42B7"/>
    <w:rsid w:val="00BB1885"/>
    <w:rsid w:val="00BB1B11"/>
    <w:rsid w:val="00BB3FD0"/>
    <w:rsid w:val="00BC041E"/>
    <w:rsid w:val="00BC546C"/>
    <w:rsid w:val="00BC57A9"/>
    <w:rsid w:val="00BC75CC"/>
    <w:rsid w:val="00BD0265"/>
    <w:rsid w:val="00BE0A76"/>
    <w:rsid w:val="00BE0C01"/>
    <w:rsid w:val="00BE13CC"/>
    <w:rsid w:val="00BE3068"/>
    <w:rsid w:val="00BE4C66"/>
    <w:rsid w:val="00BF0F04"/>
    <w:rsid w:val="00BF169F"/>
    <w:rsid w:val="00BF3E42"/>
    <w:rsid w:val="00BF4392"/>
    <w:rsid w:val="00BF5746"/>
    <w:rsid w:val="00BF6C2B"/>
    <w:rsid w:val="00BF70E1"/>
    <w:rsid w:val="00BF7FF5"/>
    <w:rsid w:val="00C0235C"/>
    <w:rsid w:val="00C03A02"/>
    <w:rsid w:val="00C04BBA"/>
    <w:rsid w:val="00C05F92"/>
    <w:rsid w:val="00C06844"/>
    <w:rsid w:val="00C06B35"/>
    <w:rsid w:val="00C07BE0"/>
    <w:rsid w:val="00C10FC0"/>
    <w:rsid w:val="00C118AE"/>
    <w:rsid w:val="00C14CA1"/>
    <w:rsid w:val="00C16423"/>
    <w:rsid w:val="00C16D79"/>
    <w:rsid w:val="00C2168B"/>
    <w:rsid w:val="00C23822"/>
    <w:rsid w:val="00C2421E"/>
    <w:rsid w:val="00C319AA"/>
    <w:rsid w:val="00C358C9"/>
    <w:rsid w:val="00C36E71"/>
    <w:rsid w:val="00C372F0"/>
    <w:rsid w:val="00C40C65"/>
    <w:rsid w:val="00C441E2"/>
    <w:rsid w:val="00C53604"/>
    <w:rsid w:val="00C53F23"/>
    <w:rsid w:val="00C554E0"/>
    <w:rsid w:val="00C61B85"/>
    <w:rsid w:val="00C622B4"/>
    <w:rsid w:val="00C64465"/>
    <w:rsid w:val="00C70520"/>
    <w:rsid w:val="00C81A8D"/>
    <w:rsid w:val="00C81B03"/>
    <w:rsid w:val="00C846E0"/>
    <w:rsid w:val="00C861C2"/>
    <w:rsid w:val="00C871C0"/>
    <w:rsid w:val="00C91050"/>
    <w:rsid w:val="00C927B3"/>
    <w:rsid w:val="00C93591"/>
    <w:rsid w:val="00C9492A"/>
    <w:rsid w:val="00C96735"/>
    <w:rsid w:val="00C96FC1"/>
    <w:rsid w:val="00CA118F"/>
    <w:rsid w:val="00CA1D40"/>
    <w:rsid w:val="00CA2987"/>
    <w:rsid w:val="00CA48E8"/>
    <w:rsid w:val="00CA71F1"/>
    <w:rsid w:val="00CA72FC"/>
    <w:rsid w:val="00CB1AAD"/>
    <w:rsid w:val="00CB252E"/>
    <w:rsid w:val="00CB5D07"/>
    <w:rsid w:val="00CC4F6D"/>
    <w:rsid w:val="00CC5D1E"/>
    <w:rsid w:val="00CD2026"/>
    <w:rsid w:val="00CD33C4"/>
    <w:rsid w:val="00CD66AB"/>
    <w:rsid w:val="00CD71D1"/>
    <w:rsid w:val="00CE0EA8"/>
    <w:rsid w:val="00CF213B"/>
    <w:rsid w:val="00CF2C00"/>
    <w:rsid w:val="00CF37FB"/>
    <w:rsid w:val="00CF5A3A"/>
    <w:rsid w:val="00D03702"/>
    <w:rsid w:val="00D05E5F"/>
    <w:rsid w:val="00D07583"/>
    <w:rsid w:val="00D11B0F"/>
    <w:rsid w:val="00D147C7"/>
    <w:rsid w:val="00D21F1A"/>
    <w:rsid w:val="00D2319F"/>
    <w:rsid w:val="00D25939"/>
    <w:rsid w:val="00D27AA7"/>
    <w:rsid w:val="00D34628"/>
    <w:rsid w:val="00D40954"/>
    <w:rsid w:val="00D41F0A"/>
    <w:rsid w:val="00D4286B"/>
    <w:rsid w:val="00D50BE4"/>
    <w:rsid w:val="00D618D2"/>
    <w:rsid w:val="00D65F8D"/>
    <w:rsid w:val="00D75904"/>
    <w:rsid w:val="00D76427"/>
    <w:rsid w:val="00D8237F"/>
    <w:rsid w:val="00D82495"/>
    <w:rsid w:val="00D839BC"/>
    <w:rsid w:val="00D85650"/>
    <w:rsid w:val="00D9049C"/>
    <w:rsid w:val="00D91F2C"/>
    <w:rsid w:val="00D926C6"/>
    <w:rsid w:val="00D97915"/>
    <w:rsid w:val="00DA45FE"/>
    <w:rsid w:val="00DA7D51"/>
    <w:rsid w:val="00DA7FD6"/>
    <w:rsid w:val="00DB10F0"/>
    <w:rsid w:val="00DB2694"/>
    <w:rsid w:val="00DB2E9A"/>
    <w:rsid w:val="00DB51AD"/>
    <w:rsid w:val="00DB645C"/>
    <w:rsid w:val="00DC0134"/>
    <w:rsid w:val="00DC1D34"/>
    <w:rsid w:val="00DD2193"/>
    <w:rsid w:val="00DD4732"/>
    <w:rsid w:val="00DE1B4B"/>
    <w:rsid w:val="00DE3950"/>
    <w:rsid w:val="00DF12AB"/>
    <w:rsid w:val="00DF15C8"/>
    <w:rsid w:val="00DF3A23"/>
    <w:rsid w:val="00DF6475"/>
    <w:rsid w:val="00E00CA8"/>
    <w:rsid w:val="00E01217"/>
    <w:rsid w:val="00E024A0"/>
    <w:rsid w:val="00E024CB"/>
    <w:rsid w:val="00E03761"/>
    <w:rsid w:val="00E059C4"/>
    <w:rsid w:val="00E07BB3"/>
    <w:rsid w:val="00E105D4"/>
    <w:rsid w:val="00E14C52"/>
    <w:rsid w:val="00E15C9B"/>
    <w:rsid w:val="00E17374"/>
    <w:rsid w:val="00E17B6B"/>
    <w:rsid w:val="00E204D9"/>
    <w:rsid w:val="00E21446"/>
    <w:rsid w:val="00E225B6"/>
    <w:rsid w:val="00E23241"/>
    <w:rsid w:val="00E33733"/>
    <w:rsid w:val="00E33FA1"/>
    <w:rsid w:val="00E4190A"/>
    <w:rsid w:val="00E41C52"/>
    <w:rsid w:val="00E4373B"/>
    <w:rsid w:val="00E46C85"/>
    <w:rsid w:val="00E47635"/>
    <w:rsid w:val="00E50C50"/>
    <w:rsid w:val="00E515EC"/>
    <w:rsid w:val="00E52723"/>
    <w:rsid w:val="00E558F3"/>
    <w:rsid w:val="00E6262D"/>
    <w:rsid w:val="00E64FAC"/>
    <w:rsid w:val="00E667AC"/>
    <w:rsid w:val="00E719BB"/>
    <w:rsid w:val="00E72489"/>
    <w:rsid w:val="00E735E9"/>
    <w:rsid w:val="00E800B4"/>
    <w:rsid w:val="00E8055E"/>
    <w:rsid w:val="00E80E7F"/>
    <w:rsid w:val="00E8251E"/>
    <w:rsid w:val="00E82D56"/>
    <w:rsid w:val="00E831A9"/>
    <w:rsid w:val="00E86820"/>
    <w:rsid w:val="00E87001"/>
    <w:rsid w:val="00E90AF4"/>
    <w:rsid w:val="00E93F19"/>
    <w:rsid w:val="00E95283"/>
    <w:rsid w:val="00EA0177"/>
    <w:rsid w:val="00EA384D"/>
    <w:rsid w:val="00EA5B43"/>
    <w:rsid w:val="00EA7BB0"/>
    <w:rsid w:val="00EB0788"/>
    <w:rsid w:val="00EB12DA"/>
    <w:rsid w:val="00EB1848"/>
    <w:rsid w:val="00EB1BAA"/>
    <w:rsid w:val="00EB34D3"/>
    <w:rsid w:val="00EC0DE4"/>
    <w:rsid w:val="00EC18BC"/>
    <w:rsid w:val="00EC25F4"/>
    <w:rsid w:val="00EC6FEE"/>
    <w:rsid w:val="00ED2A22"/>
    <w:rsid w:val="00ED4372"/>
    <w:rsid w:val="00ED563C"/>
    <w:rsid w:val="00ED7D8A"/>
    <w:rsid w:val="00EE24AF"/>
    <w:rsid w:val="00EE5A1D"/>
    <w:rsid w:val="00EE679C"/>
    <w:rsid w:val="00EE7D3E"/>
    <w:rsid w:val="00EF7E2A"/>
    <w:rsid w:val="00F00EDD"/>
    <w:rsid w:val="00F023B2"/>
    <w:rsid w:val="00F175E4"/>
    <w:rsid w:val="00F21A36"/>
    <w:rsid w:val="00F23BD3"/>
    <w:rsid w:val="00F3427E"/>
    <w:rsid w:val="00F3793C"/>
    <w:rsid w:val="00F43613"/>
    <w:rsid w:val="00F46552"/>
    <w:rsid w:val="00F5296F"/>
    <w:rsid w:val="00F6141F"/>
    <w:rsid w:val="00F61AB8"/>
    <w:rsid w:val="00F61E88"/>
    <w:rsid w:val="00F63C27"/>
    <w:rsid w:val="00F64118"/>
    <w:rsid w:val="00F650E0"/>
    <w:rsid w:val="00F6531D"/>
    <w:rsid w:val="00F72717"/>
    <w:rsid w:val="00F7625D"/>
    <w:rsid w:val="00F764FA"/>
    <w:rsid w:val="00F91E5E"/>
    <w:rsid w:val="00F91F2D"/>
    <w:rsid w:val="00F956B1"/>
    <w:rsid w:val="00F977C3"/>
    <w:rsid w:val="00FA3439"/>
    <w:rsid w:val="00FA490B"/>
    <w:rsid w:val="00FA4C2E"/>
    <w:rsid w:val="00FB1530"/>
    <w:rsid w:val="00FB1923"/>
    <w:rsid w:val="00FB27B1"/>
    <w:rsid w:val="00FB2A80"/>
    <w:rsid w:val="00FB4129"/>
    <w:rsid w:val="00FB4870"/>
    <w:rsid w:val="00FB554B"/>
    <w:rsid w:val="00FC0ABE"/>
    <w:rsid w:val="00FC32EE"/>
    <w:rsid w:val="00FC3416"/>
    <w:rsid w:val="00FC7BEA"/>
    <w:rsid w:val="00FC7F04"/>
    <w:rsid w:val="00FD02E5"/>
    <w:rsid w:val="00FD215A"/>
    <w:rsid w:val="00FD30F4"/>
    <w:rsid w:val="00FD3CCA"/>
    <w:rsid w:val="00FD7A81"/>
    <w:rsid w:val="00FE3A56"/>
    <w:rsid w:val="00FE6DE2"/>
    <w:rsid w:val="00FF21A2"/>
    <w:rsid w:val="00FF4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1" w:defUIPriority="99" w:defSemiHidden="1" w:defUnhideWhenUsed="1" w:defQFormat="0" w:count="267">
    <w:lsdException w:name="Normal" w:locked="0"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uiPriority="10" w:qFormat="1"/>
    <w:lsdException w:name="Default Paragraph Font" w:locked="0" w:uiPriority="1"/>
    <w:lsdException w:name="Subtitle" w:uiPriority="11" w:qFormat="1"/>
    <w:lsdException w:name="FollowedHyperlink" w:uiPriority="0"/>
    <w:lsdException w:name="Strong" w:uiPriority="22" w:qFormat="1"/>
    <w:lsdException w:name="Emphasis" w:uiPriority="2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2" w:uiPriority="0"/>
    <w:lsdException w:name="Balloon Text" w:uiPriority="0"/>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001FF"/>
    <w:pPr>
      <w:spacing w:before="240" w:after="120" w:line="276" w:lineRule="auto"/>
    </w:pPr>
    <w:rPr>
      <w:sz w:val="24"/>
      <w:szCs w:val="22"/>
      <w:lang w:eastAsia="en-US"/>
    </w:rPr>
  </w:style>
  <w:style w:type="paragraph" w:styleId="Heading1">
    <w:name w:val="heading 1"/>
    <w:basedOn w:val="Normal"/>
    <w:next w:val="Normal"/>
    <w:link w:val="Heading1Char"/>
    <w:uiPriority w:val="9"/>
    <w:unhideWhenUsed/>
    <w:qFormat/>
    <w:locked/>
    <w:rsid w:val="00150C3D"/>
    <w:pPr>
      <w:keepNext/>
      <w:keepLines/>
      <w:spacing w:before="480" w:line="240" w:lineRule="auto"/>
      <w:outlineLvl w:val="0"/>
    </w:pPr>
    <w:rPr>
      <w:rFonts w:eastAsia="Times New Roman"/>
      <w:b/>
      <w:bCs/>
      <w:color w:val="878800"/>
      <w:sz w:val="44"/>
      <w:szCs w:val="28"/>
    </w:rPr>
  </w:style>
  <w:style w:type="paragraph" w:styleId="Heading2">
    <w:name w:val="heading 2"/>
    <w:basedOn w:val="Normal"/>
    <w:next w:val="Normal"/>
    <w:link w:val="Heading2Char"/>
    <w:uiPriority w:val="9"/>
    <w:unhideWhenUsed/>
    <w:qFormat/>
    <w:locked/>
    <w:rsid w:val="00150C3D"/>
    <w:pPr>
      <w:keepNext/>
      <w:keepLines/>
      <w:spacing w:before="480" w:line="240" w:lineRule="auto"/>
      <w:outlineLvl w:val="1"/>
    </w:pPr>
    <w:rPr>
      <w:rFonts w:eastAsia="Times New Roman"/>
      <w:b/>
      <w:bCs/>
      <w:color w:val="878800"/>
      <w:sz w:val="36"/>
      <w:szCs w:val="26"/>
    </w:rPr>
  </w:style>
  <w:style w:type="paragraph" w:styleId="Heading3">
    <w:name w:val="heading 3"/>
    <w:basedOn w:val="Normal"/>
    <w:next w:val="Normal"/>
    <w:link w:val="Heading3Char"/>
    <w:uiPriority w:val="9"/>
    <w:unhideWhenUsed/>
    <w:qFormat/>
    <w:locked/>
    <w:rsid w:val="004E273C"/>
    <w:pPr>
      <w:keepNext/>
      <w:keepLines/>
      <w:spacing w:before="360" w:after="0" w:line="240" w:lineRule="auto"/>
      <w:outlineLvl w:val="2"/>
    </w:pPr>
    <w:rPr>
      <w:rFonts w:eastAsia="Times New Roman"/>
      <w:b/>
      <w:bCs/>
      <w:color w:val="404040"/>
      <w:sz w:val="28"/>
    </w:rPr>
  </w:style>
  <w:style w:type="paragraph" w:styleId="Heading4">
    <w:name w:val="heading 4"/>
    <w:basedOn w:val="Normal"/>
    <w:next w:val="Normal"/>
    <w:link w:val="Heading4Char"/>
    <w:uiPriority w:val="9"/>
    <w:unhideWhenUsed/>
    <w:qFormat/>
    <w:locked/>
    <w:rsid w:val="001D6FF1"/>
    <w:pPr>
      <w:keepNext/>
      <w:keepLines/>
      <w:outlineLvl w:val="3"/>
    </w:pPr>
    <w:rPr>
      <w:rFonts w:eastAsia="Times New Roman"/>
      <w:b/>
      <w:bCs/>
      <w:i/>
      <w:iCs/>
      <w:color w:val="000000"/>
    </w:rPr>
  </w:style>
  <w:style w:type="paragraph" w:styleId="Heading5">
    <w:name w:val="heading 5"/>
    <w:basedOn w:val="Normal"/>
    <w:next w:val="Normal"/>
    <w:link w:val="Heading5Char"/>
    <w:uiPriority w:val="9"/>
    <w:unhideWhenUsed/>
    <w:qFormat/>
    <w:locked/>
    <w:rsid w:val="001D6FF1"/>
    <w:pPr>
      <w:outlineLvl w:val="4"/>
    </w:pPr>
    <w:rPr>
      <w:rFonts w:eastAsia="Times New Roman"/>
      <w:b/>
      <w:bCs/>
      <w:i/>
      <w:iCs/>
      <w:color w:val="000000"/>
      <w:sz w:val="22"/>
      <w:szCs w:val="26"/>
    </w:rPr>
  </w:style>
  <w:style w:type="paragraph" w:styleId="Heading6">
    <w:name w:val="heading 6"/>
    <w:basedOn w:val="Normal"/>
    <w:next w:val="Normal"/>
    <w:link w:val="Heading6Char"/>
    <w:uiPriority w:val="9"/>
    <w:unhideWhenUsed/>
    <w:qFormat/>
    <w:locked/>
    <w:rsid w:val="00913351"/>
    <w:pPr>
      <w:pBdr>
        <w:bottom w:val="dotted" w:sz="6" w:space="1" w:color="4F81BD"/>
      </w:pBdr>
      <w:spacing w:before="300" w:after="0"/>
      <w:outlineLvl w:val="5"/>
    </w:pPr>
    <w:rPr>
      <w:rFonts w:ascii="Calibri" w:eastAsia="Times New Roman" w:hAnsi="Calibri"/>
      <w:caps/>
      <w:color w:val="365F91"/>
      <w:spacing w:val="10"/>
      <w:sz w:val="20"/>
      <w:szCs w:val="20"/>
    </w:rPr>
  </w:style>
  <w:style w:type="paragraph" w:styleId="Heading7">
    <w:name w:val="heading 7"/>
    <w:basedOn w:val="Normal"/>
    <w:next w:val="Normal"/>
    <w:link w:val="Heading7Char"/>
    <w:uiPriority w:val="9"/>
    <w:unhideWhenUsed/>
    <w:qFormat/>
    <w:locked/>
    <w:rsid w:val="00913351"/>
    <w:pPr>
      <w:spacing w:before="300" w:after="0"/>
      <w:outlineLvl w:val="6"/>
    </w:pPr>
    <w:rPr>
      <w:rFonts w:ascii="Calibri" w:eastAsia="Times New Roman" w:hAnsi="Calibri"/>
      <w:caps/>
      <w:color w:val="365F91"/>
      <w:spacing w:val="10"/>
      <w:sz w:val="20"/>
      <w:szCs w:val="20"/>
    </w:rPr>
  </w:style>
  <w:style w:type="paragraph" w:styleId="Heading8">
    <w:name w:val="heading 8"/>
    <w:basedOn w:val="Normal"/>
    <w:next w:val="Normal"/>
    <w:link w:val="Heading8Char"/>
    <w:uiPriority w:val="9"/>
    <w:unhideWhenUsed/>
    <w:qFormat/>
    <w:locked/>
    <w:rsid w:val="00913351"/>
    <w:pPr>
      <w:spacing w:before="300" w:after="0"/>
      <w:outlineLvl w:val="7"/>
    </w:pPr>
    <w:rPr>
      <w:rFonts w:ascii="Calibri" w:eastAsia="Times New Roman" w:hAnsi="Calibri"/>
      <w:caps/>
      <w:spacing w:val="10"/>
      <w:sz w:val="18"/>
      <w:szCs w:val="18"/>
    </w:rPr>
  </w:style>
  <w:style w:type="paragraph" w:styleId="Heading9">
    <w:name w:val="heading 9"/>
    <w:basedOn w:val="Normal"/>
    <w:next w:val="Normal"/>
    <w:link w:val="Heading9Char"/>
    <w:uiPriority w:val="9"/>
    <w:unhideWhenUsed/>
    <w:qFormat/>
    <w:locked/>
    <w:rsid w:val="00913351"/>
    <w:pPr>
      <w:spacing w:before="300" w:after="0"/>
      <w:outlineLvl w:val="8"/>
    </w:pPr>
    <w:rPr>
      <w:rFonts w:ascii="Calibri" w:eastAsia="Times New Roman" w:hAnsi="Calibr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34567"/>
    <w:rPr>
      <w:rFonts w:eastAsia="Times New Roman"/>
      <w:b/>
      <w:bCs/>
      <w:color w:val="878800"/>
      <w:sz w:val="44"/>
      <w:szCs w:val="28"/>
      <w:lang w:eastAsia="en-US"/>
    </w:rPr>
  </w:style>
  <w:style w:type="character" w:customStyle="1" w:styleId="Heading2Char">
    <w:name w:val="Heading 2 Char"/>
    <w:link w:val="Heading2"/>
    <w:uiPriority w:val="9"/>
    <w:rsid w:val="00934567"/>
    <w:rPr>
      <w:rFonts w:eastAsia="Times New Roman"/>
      <w:b/>
      <w:bCs/>
      <w:color w:val="878800"/>
      <w:sz w:val="36"/>
      <w:szCs w:val="26"/>
      <w:lang w:eastAsia="en-US"/>
    </w:rPr>
  </w:style>
  <w:style w:type="character" w:customStyle="1" w:styleId="Heading3Char">
    <w:name w:val="Heading 3 Char"/>
    <w:link w:val="Heading3"/>
    <w:uiPriority w:val="9"/>
    <w:rsid w:val="00934567"/>
    <w:rPr>
      <w:rFonts w:eastAsia="Times New Roman"/>
      <w:b/>
      <w:bCs/>
      <w:color w:val="404040"/>
      <w:sz w:val="28"/>
      <w:szCs w:val="22"/>
      <w:lang w:eastAsia="en-US"/>
    </w:rPr>
  </w:style>
  <w:style w:type="character" w:customStyle="1" w:styleId="Heading4Char">
    <w:name w:val="Heading 4 Char"/>
    <w:link w:val="Heading4"/>
    <w:uiPriority w:val="9"/>
    <w:rsid w:val="00D50BE4"/>
    <w:rPr>
      <w:rFonts w:eastAsia="Times New Roman"/>
      <w:b/>
      <w:bCs/>
      <w:i/>
      <w:iCs/>
      <w:color w:val="000000"/>
      <w:sz w:val="24"/>
      <w:szCs w:val="22"/>
      <w:lang w:eastAsia="en-US"/>
    </w:rPr>
  </w:style>
  <w:style w:type="paragraph" w:customStyle="1" w:styleId="Contents">
    <w:name w:val="Contents"/>
    <w:basedOn w:val="Normal"/>
    <w:uiPriority w:val="8"/>
    <w:qFormat/>
    <w:rsid w:val="00150C3D"/>
    <w:pPr>
      <w:spacing w:before="0"/>
    </w:pPr>
    <w:rPr>
      <w:b/>
      <w:color w:val="878800"/>
      <w:sz w:val="28"/>
    </w:rPr>
  </w:style>
  <w:style w:type="paragraph" w:styleId="BalloonText">
    <w:name w:val="Balloon Text"/>
    <w:basedOn w:val="Normal"/>
    <w:link w:val="BalloonTextChar"/>
    <w:unhideWhenUsed/>
    <w:locked/>
    <w:rsid w:val="005E6B7E"/>
    <w:pPr>
      <w:spacing w:before="0" w:after="0"/>
    </w:pPr>
    <w:rPr>
      <w:rFonts w:ascii="Tahoma" w:hAnsi="Tahoma"/>
      <w:sz w:val="16"/>
      <w:szCs w:val="16"/>
    </w:rPr>
  </w:style>
  <w:style w:type="character" w:customStyle="1" w:styleId="BalloonTextChar">
    <w:name w:val="Balloon Text Char"/>
    <w:link w:val="BalloonText"/>
    <w:rsid w:val="005E6B7E"/>
    <w:rPr>
      <w:rFonts w:ascii="Tahoma" w:hAnsi="Tahoma" w:cs="Tahoma"/>
      <w:sz w:val="16"/>
      <w:szCs w:val="16"/>
    </w:rPr>
  </w:style>
  <w:style w:type="character" w:styleId="Hyperlink">
    <w:name w:val="Hyperlink"/>
    <w:uiPriority w:val="99"/>
    <w:locked/>
    <w:rsid w:val="00241F9E"/>
    <w:rPr>
      <w:color w:val="0000FF"/>
      <w:u w:val="single"/>
    </w:rPr>
  </w:style>
  <w:style w:type="paragraph" w:styleId="TOCHeading">
    <w:name w:val="TOC Heading"/>
    <w:basedOn w:val="Heading1"/>
    <w:next w:val="Normal"/>
    <w:uiPriority w:val="39"/>
    <w:unhideWhenUsed/>
    <w:qFormat/>
    <w:locked/>
    <w:rsid w:val="00316023"/>
    <w:pPr>
      <w:spacing w:after="0" w:line="276" w:lineRule="auto"/>
      <w:outlineLvl w:val="9"/>
    </w:pPr>
    <w:rPr>
      <w:rFonts w:ascii="Cambria" w:hAnsi="Cambria"/>
      <w:color w:val="365F91"/>
      <w:sz w:val="28"/>
      <w:lang w:val="en-US"/>
    </w:rPr>
  </w:style>
  <w:style w:type="paragraph" w:styleId="TOC3">
    <w:name w:val="toc 3"/>
    <w:basedOn w:val="Normal"/>
    <w:next w:val="Normal"/>
    <w:autoRedefine/>
    <w:uiPriority w:val="39"/>
    <w:unhideWhenUsed/>
    <w:qFormat/>
    <w:locked/>
    <w:rsid w:val="00316023"/>
    <w:pPr>
      <w:ind w:left="480"/>
    </w:pPr>
  </w:style>
  <w:style w:type="paragraph" w:styleId="TOC1">
    <w:name w:val="toc 1"/>
    <w:basedOn w:val="Normal"/>
    <w:next w:val="Normal"/>
    <w:autoRedefine/>
    <w:uiPriority w:val="39"/>
    <w:unhideWhenUsed/>
    <w:qFormat/>
    <w:locked/>
    <w:rsid w:val="00AD1792"/>
    <w:pPr>
      <w:tabs>
        <w:tab w:val="right" w:leader="dot" w:pos="9628"/>
      </w:tabs>
      <w:spacing w:line="240" w:lineRule="auto"/>
    </w:pPr>
  </w:style>
  <w:style w:type="paragraph" w:styleId="Header">
    <w:name w:val="header"/>
    <w:basedOn w:val="Normal"/>
    <w:link w:val="HeaderChar"/>
    <w:unhideWhenUsed/>
    <w:locked/>
    <w:rsid w:val="00EF7E2A"/>
    <w:pPr>
      <w:tabs>
        <w:tab w:val="center" w:pos="4513"/>
        <w:tab w:val="right" w:pos="9026"/>
      </w:tabs>
    </w:pPr>
  </w:style>
  <w:style w:type="character" w:customStyle="1" w:styleId="HeaderChar">
    <w:name w:val="Header Char"/>
    <w:link w:val="Header"/>
    <w:rsid w:val="00EF7E2A"/>
    <w:rPr>
      <w:sz w:val="24"/>
      <w:szCs w:val="22"/>
      <w:lang w:eastAsia="en-US"/>
    </w:rPr>
  </w:style>
  <w:style w:type="paragraph" w:styleId="Footer">
    <w:name w:val="footer"/>
    <w:basedOn w:val="Normal"/>
    <w:link w:val="FooterChar"/>
    <w:uiPriority w:val="99"/>
    <w:unhideWhenUsed/>
    <w:locked/>
    <w:rsid w:val="00EF7E2A"/>
    <w:pPr>
      <w:tabs>
        <w:tab w:val="center" w:pos="4513"/>
        <w:tab w:val="right" w:pos="9026"/>
      </w:tabs>
    </w:pPr>
  </w:style>
  <w:style w:type="character" w:customStyle="1" w:styleId="FooterChar">
    <w:name w:val="Footer Char"/>
    <w:link w:val="Footer"/>
    <w:uiPriority w:val="99"/>
    <w:rsid w:val="00EF7E2A"/>
    <w:rPr>
      <w:sz w:val="24"/>
      <w:szCs w:val="22"/>
      <w:lang w:eastAsia="en-US"/>
    </w:rPr>
  </w:style>
  <w:style w:type="table" w:styleId="TableGrid">
    <w:name w:val="Table Grid"/>
    <w:basedOn w:val="TableNormal"/>
    <w:locked/>
    <w:rsid w:val="00831C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raGreen1">
    <w:name w:val="Defra Green 1"/>
    <w:basedOn w:val="TableNormal"/>
    <w:uiPriority w:val="99"/>
    <w:qFormat/>
    <w:rsid w:val="00C16D79"/>
    <w:pPr>
      <w:spacing w:before="60" w:after="80"/>
    </w:pPr>
    <w:rPr>
      <w:sz w:val="22"/>
    </w:rPr>
    <w:tblPr>
      <w:tblInd w:w="0" w:type="dxa"/>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CellMar>
        <w:top w:w="0" w:type="dxa"/>
        <w:left w:w="108" w:type="dxa"/>
        <w:bottom w:w="0" w:type="dxa"/>
        <w:right w:w="108" w:type="dxa"/>
      </w:tblCellMar>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F23BD3"/>
    <w:tblPr>
      <w:tblInd w:w="0" w:type="dxa"/>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CellMar>
        <w:top w:w="0" w:type="dxa"/>
        <w:left w:w="108" w:type="dxa"/>
        <w:bottom w:w="0" w:type="dxa"/>
        <w:right w:w="108" w:type="dxa"/>
      </w:tblCellMar>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9C6F90"/>
    <w:rPr>
      <w:sz w:val="22"/>
      <w:szCs w:val="22"/>
      <w:lang w:eastAsia="en-US"/>
    </w:rPr>
  </w:style>
  <w:style w:type="paragraph" w:customStyle="1" w:styleId="TableText">
    <w:name w:val="Table Text"/>
    <w:basedOn w:val="Normal"/>
    <w:link w:val="TableTextCharChar"/>
    <w:qFormat/>
    <w:rsid w:val="009C6F90"/>
    <w:pPr>
      <w:spacing w:before="60" w:after="80"/>
    </w:pPr>
    <w:rPr>
      <w:sz w:val="22"/>
    </w:rPr>
  </w:style>
  <w:style w:type="paragraph" w:styleId="TOC2">
    <w:name w:val="toc 2"/>
    <w:basedOn w:val="Normal"/>
    <w:next w:val="Normal"/>
    <w:autoRedefine/>
    <w:uiPriority w:val="39"/>
    <w:unhideWhenUsed/>
    <w:qFormat/>
    <w:locked/>
    <w:rsid w:val="00860216"/>
    <w:pPr>
      <w:ind w:left="240"/>
    </w:pPr>
  </w:style>
  <w:style w:type="paragraph" w:customStyle="1" w:styleId="PubTitle">
    <w:name w:val="Pub Title"/>
    <w:basedOn w:val="Normal"/>
    <w:next w:val="Normal"/>
    <w:uiPriority w:val="5"/>
    <w:qFormat/>
    <w:rsid w:val="009A6600"/>
    <w:pPr>
      <w:spacing w:before="2040"/>
    </w:pPr>
    <w:rPr>
      <w:rFonts w:cs="Arial"/>
      <w:b/>
      <w:color w:val="878800"/>
      <w:sz w:val="44"/>
      <w:szCs w:val="44"/>
    </w:rPr>
  </w:style>
  <w:style w:type="paragraph" w:customStyle="1" w:styleId="PubSubtitle">
    <w:name w:val="Pub Subtitle"/>
    <w:basedOn w:val="Normal"/>
    <w:next w:val="Normal"/>
    <w:uiPriority w:val="6"/>
    <w:qFormat/>
    <w:rsid w:val="009A6600"/>
    <w:pPr>
      <w:spacing w:before="0"/>
    </w:pPr>
    <w:rPr>
      <w:rFonts w:cs="Arial"/>
      <w:b/>
      <w:color w:val="878800"/>
      <w:sz w:val="40"/>
      <w:szCs w:val="40"/>
    </w:rPr>
  </w:style>
  <w:style w:type="paragraph" w:styleId="ListParagraph">
    <w:name w:val="List Paragraph"/>
    <w:aliases w:val="Bullet Style"/>
    <w:basedOn w:val="Normal"/>
    <w:uiPriority w:val="34"/>
    <w:qFormat/>
    <w:locked/>
    <w:rsid w:val="002062D2"/>
    <w:pPr>
      <w:ind w:left="720"/>
      <w:contextualSpacing/>
    </w:pPr>
  </w:style>
  <w:style w:type="character" w:customStyle="1" w:styleId="Heading5Char">
    <w:name w:val="Heading 5 Char"/>
    <w:link w:val="Heading5"/>
    <w:uiPriority w:val="9"/>
    <w:rsid w:val="001D6FF1"/>
    <w:rPr>
      <w:rFonts w:eastAsia="Times New Roman" w:cs="Times New Roman"/>
      <w:b/>
      <w:bCs/>
      <w:i/>
      <w:iCs/>
      <w:color w:val="000000"/>
      <w:sz w:val="22"/>
      <w:szCs w:val="26"/>
      <w:lang w:eastAsia="en-US"/>
    </w:rPr>
  </w:style>
  <w:style w:type="paragraph" w:customStyle="1" w:styleId="PubDate">
    <w:name w:val="Pub Date"/>
    <w:basedOn w:val="Normal"/>
    <w:next w:val="Normal"/>
    <w:uiPriority w:val="7"/>
    <w:qFormat/>
    <w:rsid w:val="00CA72FC"/>
    <w:rPr>
      <w:b/>
      <w:color w:val="878800"/>
      <w:sz w:val="32"/>
    </w:rPr>
  </w:style>
  <w:style w:type="character" w:customStyle="1" w:styleId="Heading6Char">
    <w:name w:val="Heading 6 Char"/>
    <w:link w:val="Heading6"/>
    <w:uiPriority w:val="9"/>
    <w:rsid w:val="00913351"/>
    <w:rPr>
      <w:rFonts w:ascii="Calibri" w:eastAsia="Times New Roman" w:hAnsi="Calibri"/>
      <w:caps/>
      <w:color w:val="365F91"/>
      <w:spacing w:val="10"/>
    </w:rPr>
  </w:style>
  <w:style w:type="paragraph" w:styleId="Caption">
    <w:name w:val="caption"/>
    <w:basedOn w:val="Normal"/>
    <w:next w:val="Normal"/>
    <w:uiPriority w:val="35"/>
    <w:qFormat/>
    <w:locked/>
    <w:rsid w:val="005001FF"/>
    <w:pPr>
      <w:keepNext/>
      <w:spacing w:before="360"/>
    </w:pPr>
    <w:rPr>
      <w:b/>
      <w:bCs/>
      <w:sz w:val="22"/>
      <w:szCs w:val="20"/>
    </w:rPr>
  </w:style>
  <w:style w:type="character" w:customStyle="1" w:styleId="Heading7Char">
    <w:name w:val="Heading 7 Char"/>
    <w:link w:val="Heading7"/>
    <w:uiPriority w:val="9"/>
    <w:rsid w:val="00913351"/>
    <w:rPr>
      <w:rFonts w:ascii="Calibri" w:eastAsia="Times New Roman" w:hAnsi="Calibri"/>
      <w:caps/>
      <w:color w:val="365F91"/>
      <w:spacing w:val="10"/>
    </w:rPr>
  </w:style>
  <w:style w:type="character" w:customStyle="1" w:styleId="Heading8Char">
    <w:name w:val="Heading 8 Char"/>
    <w:link w:val="Heading8"/>
    <w:uiPriority w:val="9"/>
    <w:rsid w:val="00913351"/>
    <w:rPr>
      <w:rFonts w:ascii="Calibri" w:eastAsia="Times New Roman" w:hAnsi="Calibri"/>
      <w:caps/>
      <w:spacing w:val="10"/>
      <w:sz w:val="18"/>
      <w:szCs w:val="18"/>
    </w:rPr>
  </w:style>
  <w:style w:type="character" w:customStyle="1" w:styleId="Heading9Char">
    <w:name w:val="Heading 9 Char"/>
    <w:link w:val="Heading9"/>
    <w:uiPriority w:val="9"/>
    <w:rsid w:val="00913351"/>
    <w:rPr>
      <w:rFonts w:ascii="Calibri" w:eastAsia="Times New Roman" w:hAnsi="Calibri"/>
      <w:i/>
      <w:caps/>
      <w:spacing w:val="10"/>
      <w:sz w:val="18"/>
      <w:szCs w:val="18"/>
    </w:rPr>
  </w:style>
  <w:style w:type="paragraph" w:styleId="Title">
    <w:name w:val="Title"/>
    <w:basedOn w:val="Normal"/>
    <w:next w:val="Normal"/>
    <w:link w:val="TitleChar"/>
    <w:uiPriority w:val="10"/>
    <w:qFormat/>
    <w:locked/>
    <w:rsid w:val="00913351"/>
    <w:pPr>
      <w:spacing w:before="720" w:after="200"/>
    </w:pPr>
    <w:rPr>
      <w:rFonts w:ascii="Calibri" w:eastAsia="Times New Roman" w:hAnsi="Calibri"/>
      <w:caps/>
      <w:color w:val="4F81BD"/>
      <w:spacing w:val="10"/>
      <w:kern w:val="28"/>
      <w:sz w:val="52"/>
      <w:szCs w:val="52"/>
    </w:rPr>
  </w:style>
  <w:style w:type="character" w:customStyle="1" w:styleId="TitleChar">
    <w:name w:val="Title Char"/>
    <w:link w:val="Title"/>
    <w:uiPriority w:val="10"/>
    <w:rsid w:val="00913351"/>
    <w:rPr>
      <w:rFonts w:ascii="Calibri" w:eastAsia="Times New Roman" w:hAnsi="Calibri"/>
      <w:caps/>
      <w:color w:val="4F81BD"/>
      <w:spacing w:val="10"/>
      <w:kern w:val="28"/>
      <w:sz w:val="52"/>
      <w:szCs w:val="52"/>
    </w:rPr>
  </w:style>
  <w:style w:type="paragraph" w:styleId="Subtitle">
    <w:name w:val="Subtitle"/>
    <w:basedOn w:val="Normal"/>
    <w:next w:val="Normal"/>
    <w:link w:val="SubtitleChar"/>
    <w:uiPriority w:val="11"/>
    <w:qFormat/>
    <w:locked/>
    <w:rsid w:val="00913351"/>
    <w:pPr>
      <w:spacing w:before="200" w:after="1000" w:line="240" w:lineRule="auto"/>
    </w:pPr>
    <w:rPr>
      <w:rFonts w:ascii="Calibri" w:eastAsia="Times New Roman" w:hAnsi="Calibri"/>
      <w:caps/>
      <w:color w:val="595959"/>
      <w:spacing w:val="10"/>
      <w:szCs w:val="24"/>
    </w:rPr>
  </w:style>
  <w:style w:type="character" w:customStyle="1" w:styleId="SubtitleChar">
    <w:name w:val="Subtitle Char"/>
    <w:link w:val="Subtitle"/>
    <w:uiPriority w:val="11"/>
    <w:rsid w:val="00913351"/>
    <w:rPr>
      <w:rFonts w:ascii="Calibri" w:eastAsia="Times New Roman" w:hAnsi="Calibri"/>
      <w:caps/>
      <w:color w:val="595959"/>
      <w:spacing w:val="10"/>
      <w:sz w:val="24"/>
      <w:szCs w:val="24"/>
    </w:rPr>
  </w:style>
  <w:style w:type="character" w:styleId="Strong">
    <w:name w:val="Strong"/>
    <w:uiPriority w:val="22"/>
    <w:qFormat/>
    <w:locked/>
    <w:rsid w:val="00913351"/>
    <w:rPr>
      <w:b/>
      <w:bCs/>
    </w:rPr>
  </w:style>
  <w:style w:type="character" w:styleId="Emphasis">
    <w:name w:val="Emphasis"/>
    <w:uiPriority w:val="20"/>
    <w:qFormat/>
    <w:locked/>
    <w:rsid w:val="00913351"/>
    <w:rPr>
      <w:caps/>
      <w:color w:val="243F60"/>
      <w:spacing w:val="5"/>
    </w:rPr>
  </w:style>
  <w:style w:type="paragraph" w:styleId="NoSpacing">
    <w:name w:val="No Spacing"/>
    <w:basedOn w:val="Normal"/>
    <w:link w:val="NoSpacingChar"/>
    <w:uiPriority w:val="1"/>
    <w:qFormat/>
    <w:locked/>
    <w:rsid w:val="00913351"/>
    <w:pPr>
      <w:spacing w:before="0" w:after="0" w:line="240" w:lineRule="auto"/>
    </w:pPr>
    <w:rPr>
      <w:rFonts w:ascii="Calibri" w:eastAsia="Times New Roman" w:hAnsi="Calibri"/>
      <w:sz w:val="20"/>
      <w:szCs w:val="20"/>
    </w:rPr>
  </w:style>
  <w:style w:type="paragraph" w:styleId="Quote">
    <w:name w:val="Quote"/>
    <w:basedOn w:val="Normal"/>
    <w:next w:val="Normal"/>
    <w:link w:val="QuoteChar"/>
    <w:uiPriority w:val="29"/>
    <w:qFormat/>
    <w:locked/>
    <w:rsid w:val="00913351"/>
    <w:pPr>
      <w:spacing w:before="200" w:after="200"/>
    </w:pPr>
    <w:rPr>
      <w:rFonts w:ascii="Calibri" w:eastAsia="Times New Roman" w:hAnsi="Calibri"/>
      <w:i/>
      <w:iCs/>
      <w:sz w:val="20"/>
      <w:szCs w:val="20"/>
    </w:rPr>
  </w:style>
  <w:style w:type="character" w:customStyle="1" w:styleId="QuoteChar">
    <w:name w:val="Quote Char"/>
    <w:link w:val="Quote"/>
    <w:uiPriority w:val="29"/>
    <w:rsid w:val="00913351"/>
    <w:rPr>
      <w:rFonts w:ascii="Calibri" w:eastAsia="Times New Roman" w:hAnsi="Calibri"/>
      <w:i/>
      <w:iCs/>
    </w:rPr>
  </w:style>
  <w:style w:type="paragraph" w:styleId="IntenseQuote">
    <w:name w:val="Intense Quote"/>
    <w:basedOn w:val="Normal"/>
    <w:next w:val="Normal"/>
    <w:link w:val="IntenseQuoteChar"/>
    <w:uiPriority w:val="30"/>
    <w:qFormat/>
    <w:locked/>
    <w:rsid w:val="00913351"/>
    <w:pPr>
      <w:pBdr>
        <w:top w:val="single" w:sz="4" w:space="10" w:color="4F81BD"/>
        <w:left w:val="single" w:sz="4" w:space="10" w:color="4F81BD"/>
      </w:pBdr>
      <w:spacing w:before="200" w:after="0"/>
      <w:ind w:left="1296" w:right="1152"/>
      <w:jc w:val="both"/>
    </w:pPr>
    <w:rPr>
      <w:rFonts w:ascii="Calibri" w:eastAsia="Times New Roman" w:hAnsi="Calibri"/>
      <w:i/>
      <w:iCs/>
      <w:color w:val="4F81BD"/>
      <w:sz w:val="20"/>
      <w:szCs w:val="20"/>
    </w:rPr>
  </w:style>
  <w:style w:type="character" w:customStyle="1" w:styleId="IntenseQuoteChar">
    <w:name w:val="Intense Quote Char"/>
    <w:link w:val="IntenseQuote"/>
    <w:uiPriority w:val="30"/>
    <w:rsid w:val="00913351"/>
    <w:rPr>
      <w:rFonts w:ascii="Calibri" w:eastAsia="Times New Roman" w:hAnsi="Calibri"/>
      <w:i/>
      <w:iCs/>
      <w:color w:val="4F81BD"/>
    </w:rPr>
  </w:style>
  <w:style w:type="character" w:styleId="SubtleEmphasis">
    <w:name w:val="Subtle Emphasis"/>
    <w:uiPriority w:val="19"/>
    <w:qFormat/>
    <w:locked/>
    <w:rsid w:val="00913351"/>
    <w:rPr>
      <w:i/>
      <w:iCs/>
      <w:color w:val="243F60"/>
    </w:rPr>
  </w:style>
  <w:style w:type="character" w:styleId="IntenseEmphasis">
    <w:name w:val="Intense Emphasis"/>
    <w:uiPriority w:val="21"/>
    <w:qFormat/>
    <w:locked/>
    <w:rsid w:val="00913351"/>
    <w:rPr>
      <w:b/>
      <w:bCs/>
      <w:caps/>
      <w:color w:val="243F60"/>
      <w:spacing w:val="10"/>
    </w:rPr>
  </w:style>
  <w:style w:type="character" w:styleId="SubtleReference">
    <w:name w:val="Subtle Reference"/>
    <w:uiPriority w:val="31"/>
    <w:qFormat/>
    <w:locked/>
    <w:rsid w:val="00913351"/>
    <w:rPr>
      <w:b/>
      <w:bCs/>
      <w:color w:val="4F81BD"/>
    </w:rPr>
  </w:style>
  <w:style w:type="character" w:styleId="IntenseReference">
    <w:name w:val="Intense Reference"/>
    <w:uiPriority w:val="32"/>
    <w:qFormat/>
    <w:locked/>
    <w:rsid w:val="00913351"/>
    <w:rPr>
      <w:b/>
      <w:bCs/>
      <w:i/>
      <w:iCs/>
      <w:caps/>
      <w:color w:val="4F81BD"/>
    </w:rPr>
  </w:style>
  <w:style w:type="character" w:styleId="BookTitle">
    <w:name w:val="Book Title"/>
    <w:uiPriority w:val="33"/>
    <w:qFormat/>
    <w:locked/>
    <w:rsid w:val="00913351"/>
    <w:rPr>
      <w:b/>
      <w:bCs/>
      <w:i/>
      <w:iCs/>
      <w:spacing w:val="9"/>
    </w:rPr>
  </w:style>
  <w:style w:type="paragraph" w:customStyle="1" w:styleId="Default">
    <w:name w:val="Default"/>
    <w:rsid w:val="00913351"/>
    <w:pPr>
      <w:autoSpaceDE w:val="0"/>
      <w:autoSpaceDN w:val="0"/>
      <w:adjustRightInd w:val="0"/>
      <w:spacing w:before="200" w:after="200" w:line="276" w:lineRule="auto"/>
    </w:pPr>
    <w:rPr>
      <w:rFonts w:cs="Arial"/>
      <w:color w:val="000000"/>
      <w:sz w:val="24"/>
      <w:szCs w:val="24"/>
      <w:lang w:eastAsia="en-US"/>
    </w:rPr>
  </w:style>
  <w:style w:type="paragraph" w:styleId="FootnoteText">
    <w:name w:val="footnote text"/>
    <w:basedOn w:val="Normal"/>
    <w:link w:val="FootnoteTextChar"/>
    <w:uiPriority w:val="99"/>
    <w:locked/>
    <w:rsid w:val="00913351"/>
    <w:pPr>
      <w:spacing w:before="0" w:after="0" w:line="240" w:lineRule="auto"/>
    </w:pPr>
    <w:rPr>
      <w:rFonts w:eastAsia="Times New Roman"/>
      <w:sz w:val="20"/>
      <w:szCs w:val="20"/>
    </w:rPr>
  </w:style>
  <w:style w:type="character" w:customStyle="1" w:styleId="FootnoteTextChar">
    <w:name w:val="Footnote Text Char"/>
    <w:link w:val="FootnoteText"/>
    <w:uiPriority w:val="99"/>
    <w:rsid w:val="00913351"/>
    <w:rPr>
      <w:rFonts w:eastAsia="Times New Roman"/>
    </w:rPr>
  </w:style>
  <w:style w:type="character" w:styleId="FootnoteReference">
    <w:name w:val="footnote reference"/>
    <w:locked/>
    <w:rsid w:val="00913351"/>
    <w:rPr>
      <w:vertAlign w:val="superscript"/>
    </w:rPr>
  </w:style>
  <w:style w:type="paragraph" w:styleId="NormalWeb">
    <w:name w:val="Normal (Web)"/>
    <w:basedOn w:val="Normal"/>
    <w:uiPriority w:val="99"/>
    <w:unhideWhenUsed/>
    <w:locked/>
    <w:rsid w:val="00913351"/>
    <w:pPr>
      <w:spacing w:before="100" w:beforeAutospacing="1" w:after="100" w:afterAutospacing="1" w:line="240" w:lineRule="auto"/>
    </w:pPr>
    <w:rPr>
      <w:rFonts w:ascii="Times New Roman" w:eastAsia="Times New Roman" w:hAnsi="Times New Roman"/>
      <w:szCs w:val="24"/>
      <w:lang w:val="en-US" w:eastAsia="en-GB" w:bidi="en-US"/>
    </w:rPr>
  </w:style>
  <w:style w:type="character" w:styleId="CommentReference">
    <w:name w:val="annotation reference"/>
    <w:unhideWhenUsed/>
    <w:locked/>
    <w:rsid w:val="00913351"/>
    <w:rPr>
      <w:sz w:val="16"/>
      <w:szCs w:val="16"/>
    </w:rPr>
  </w:style>
  <w:style w:type="paragraph" w:styleId="CommentText">
    <w:name w:val="annotation text"/>
    <w:basedOn w:val="Normal"/>
    <w:link w:val="CommentTextChar"/>
    <w:unhideWhenUsed/>
    <w:locked/>
    <w:rsid w:val="00913351"/>
    <w:pPr>
      <w:spacing w:before="200" w:after="200"/>
    </w:pPr>
    <w:rPr>
      <w:sz w:val="20"/>
      <w:szCs w:val="20"/>
    </w:rPr>
  </w:style>
  <w:style w:type="character" w:customStyle="1" w:styleId="CommentTextChar">
    <w:name w:val="Comment Text Char"/>
    <w:link w:val="CommentText"/>
    <w:rsid w:val="00913351"/>
    <w:rPr>
      <w:lang w:eastAsia="en-US"/>
    </w:rPr>
  </w:style>
  <w:style w:type="paragraph" w:styleId="CommentSubject">
    <w:name w:val="annotation subject"/>
    <w:basedOn w:val="CommentText"/>
    <w:next w:val="CommentText"/>
    <w:link w:val="CommentSubjectChar"/>
    <w:unhideWhenUsed/>
    <w:locked/>
    <w:rsid w:val="00913351"/>
    <w:rPr>
      <w:b/>
      <w:bCs/>
    </w:rPr>
  </w:style>
  <w:style w:type="character" w:customStyle="1" w:styleId="CommentSubjectChar">
    <w:name w:val="Comment Subject Char"/>
    <w:link w:val="CommentSubject"/>
    <w:rsid w:val="00913351"/>
    <w:rPr>
      <w:b/>
      <w:bCs/>
      <w:lang w:eastAsia="en-US"/>
    </w:rPr>
  </w:style>
  <w:style w:type="character" w:styleId="FollowedHyperlink">
    <w:name w:val="FollowedHyperlink"/>
    <w:unhideWhenUsed/>
    <w:locked/>
    <w:rsid w:val="00913351"/>
    <w:rPr>
      <w:color w:val="800080"/>
      <w:u w:val="single"/>
    </w:rPr>
  </w:style>
  <w:style w:type="character" w:customStyle="1" w:styleId="NoSpacingChar">
    <w:name w:val="No Spacing Char"/>
    <w:link w:val="NoSpacing"/>
    <w:uiPriority w:val="1"/>
    <w:rsid w:val="00913351"/>
    <w:rPr>
      <w:rFonts w:ascii="Calibri" w:eastAsia="Times New Roman" w:hAnsi="Calibri"/>
    </w:rPr>
  </w:style>
  <w:style w:type="paragraph" w:styleId="DocumentMap">
    <w:name w:val="Document Map"/>
    <w:basedOn w:val="Normal"/>
    <w:link w:val="DocumentMapChar"/>
    <w:unhideWhenUsed/>
    <w:locked/>
    <w:rsid w:val="00913351"/>
    <w:pPr>
      <w:spacing w:before="200" w:after="200"/>
    </w:pPr>
    <w:rPr>
      <w:rFonts w:ascii="Tahoma" w:eastAsia="Times New Roman" w:hAnsi="Tahoma"/>
      <w:sz w:val="16"/>
      <w:szCs w:val="16"/>
    </w:rPr>
  </w:style>
  <w:style w:type="character" w:customStyle="1" w:styleId="DocumentMapChar">
    <w:name w:val="Document Map Char"/>
    <w:link w:val="DocumentMap"/>
    <w:rsid w:val="00913351"/>
    <w:rPr>
      <w:rFonts w:ascii="Tahoma" w:eastAsia="Times New Roman" w:hAnsi="Tahoma"/>
      <w:sz w:val="16"/>
      <w:szCs w:val="16"/>
    </w:rPr>
  </w:style>
  <w:style w:type="paragraph" w:styleId="Revision">
    <w:name w:val="Revision"/>
    <w:hidden/>
    <w:uiPriority w:val="99"/>
    <w:semiHidden/>
    <w:rsid w:val="00913351"/>
    <w:rPr>
      <w:rFonts w:ascii="Calibri" w:eastAsia="Times New Roman" w:hAnsi="Calibri"/>
      <w:sz w:val="24"/>
      <w:lang w:val="en-US" w:eastAsia="en-US" w:bidi="en-US"/>
    </w:rPr>
  </w:style>
  <w:style w:type="paragraph" w:customStyle="1" w:styleId="CM42">
    <w:name w:val="CM42"/>
    <w:basedOn w:val="Default"/>
    <w:next w:val="Default"/>
    <w:uiPriority w:val="99"/>
    <w:rsid w:val="00913351"/>
    <w:pPr>
      <w:spacing w:before="0"/>
    </w:pPr>
    <w:rPr>
      <w:rFonts w:ascii="LPEHM J+ Zurich BT" w:hAnsi="LPEHM J+ Zurich BT" w:cs="Times New Roman"/>
      <w:color w:val="auto"/>
    </w:rPr>
  </w:style>
  <w:style w:type="paragraph" w:customStyle="1" w:styleId="CM90">
    <w:name w:val="CM90"/>
    <w:basedOn w:val="Normal"/>
    <w:next w:val="Normal"/>
    <w:uiPriority w:val="99"/>
    <w:rsid w:val="00913351"/>
    <w:pPr>
      <w:autoSpaceDE w:val="0"/>
      <w:autoSpaceDN w:val="0"/>
      <w:adjustRightInd w:val="0"/>
      <w:spacing w:before="0" w:after="200"/>
    </w:pPr>
    <w:rPr>
      <w:rFonts w:ascii="LPEHM J+ Zurich BT" w:hAnsi="LPEHM J+ Zurich BT"/>
      <w:sz w:val="22"/>
      <w:szCs w:val="24"/>
      <w:lang w:bidi="en-US"/>
    </w:rPr>
  </w:style>
  <w:style w:type="paragraph" w:customStyle="1" w:styleId="CM1">
    <w:name w:val="CM1"/>
    <w:basedOn w:val="Default"/>
    <w:next w:val="Default"/>
    <w:uiPriority w:val="99"/>
    <w:rsid w:val="00913351"/>
    <w:pPr>
      <w:spacing w:before="0" w:after="0" w:line="300" w:lineRule="atLeast"/>
    </w:pPr>
    <w:rPr>
      <w:rFonts w:ascii="LPEHM J+ Zurich BT" w:eastAsia="Times New Roman" w:hAnsi="LPEHM J+ Zurich BT" w:cs="Times New Roman"/>
      <w:color w:val="auto"/>
    </w:rPr>
  </w:style>
  <w:style w:type="paragraph" w:customStyle="1" w:styleId="CM94">
    <w:name w:val="CM94"/>
    <w:basedOn w:val="Default"/>
    <w:next w:val="Default"/>
    <w:rsid w:val="00913351"/>
    <w:pPr>
      <w:spacing w:before="0" w:after="0" w:line="240" w:lineRule="auto"/>
    </w:pPr>
    <w:rPr>
      <w:rFonts w:ascii="LPEHM J+ Zurich BT" w:eastAsia="Times New Roman" w:hAnsi="LPEHM J+ Zurich BT" w:cs="Times New Roman"/>
      <w:color w:val="auto"/>
    </w:rPr>
  </w:style>
  <w:style w:type="paragraph" w:customStyle="1" w:styleId="CM103">
    <w:name w:val="CM103"/>
    <w:basedOn w:val="Default"/>
    <w:next w:val="Default"/>
    <w:rsid w:val="00913351"/>
    <w:pPr>
      <w:spacing w:before="0" w:after="0" w:line="240" w:lineRule="auto"/>
    </w:pPr>
    <w:rPr>
      <w:rFonts w:ascii="LPEHM J+ Zurich BT" w:eastAsia="Times New Roman" w:hAnsi="LPEHM J+ Zurich BT" w:cs="Times New Roman"/>
      <w:color w:val="auto"/>
    </w:rPr>
  </w:style>
  <w:style w:type="paragraph" w:customStyle="1" w:styleId="N1">
    <w:name w:val="N1"/>
    <w:basedOn w:val="Normal"/>
    <w:rsid w:val="00913351"/>
    <w:pPr>
      <w:numPr>
        <w:numId w:val="4"/>
      </w:numPr>
      <w:spacing w:before="160" w:after="200" w:line="220" w:lineRule="atLeast"/>
      <w:jc w:val="both"/>
    </w:pPr>
    <w:rPr>
      <w:rFonts w:ascii="Times New Roman" w:eastAsia="Times New Roman" w:hAnsi="Times New Roman"/>
      <w:sz w:val="21"/>
      <w:szCs w:val="20"/>
      <w:lang w:val="en-US" w:bidi="en-US"/>
    </w:rPr>
  </w:style>
  <w:style w:type="paragraph" w:customStyle="1" w:styleId="N2">
    <w:name w:val="N2"/>
    <w:basedOn w:val="N1"/>
    <w:rsid w:val="00913351"/>
    <w:pPr>
      <w:numPr>
        <w:ilvl w:val="1"/>
      </w:numPr>
      <w:spacing w:before="80"/>
    </w:pPr>
  </w:style>
  <w:style w:type="paragraph" w:customStyle="1" w:styleId="N3">
    <w:name w:val="N3"/>
    <w:basedOn w:val="N2"/>
    <w:rsid w:val="00913351"/>
    <w:pPr>
      <w:numPr>
        <w:ilvl w:val="2"/>
      </w:numPr>
    </w:pPr>
  </w:style>
  <w:style w:type="paragraph" w:customStyle="1" w:styleId="N4">
    <w:name w:val="N4"/>
    <w:basedOn w:val="N3"/>
    <w:rsid w:val="00913351"/>
    <w:pPr>
      <w:numPr>
        <w:ilvl w:val="3"/>
      </w:numPr>
    </w:pPr>
  </w:style>
  <w:style w:type="paragraph" w:customStyle="1" w:styleId="N5">
    <w:name w:val="N5"/>
    <w:basedOn w:val="N4"/>
    <w:rsid w:val="00913351"/>
    <w:pPr>
      <w:numPr>
        <w:ilvl w:val="4"/>
      </w:numPr>
    </w:pPr>
  </w:style>
  <w:style w:type="character" w:customStyle="1" w:styleId="st1">
    <w:name w:val="st1"/>
    <w:basedOn w:val="DefaultParagraphFont"/>
    <w:rsid w:val="00913351"/>
  </w:style>
  <w:style w:type="character" w:customStyle="1" w:styleId="legds2">
    <w:name w:val="legds2"/>
    <w:rsid w:val="00913351"/>
    <w:rPr>
      <w:vanish w:val="0"/>
      <w:webHidden w:val="0"/>
      <w:specVanish w:val="0"/>
    </w:rPr>
  </w:style>
  <w:style w:type="character" w:customStyle="1" w:styleId="legterm">
    <w:name w:val="legterm"/>
    <w:basedOn w:val="DefaultParagraphFont"/>
    <w:rsid w:val="00913351"/>
  </w:style>
  <w:style w:type="paragraph" w:customStyle="1" w:styleId="intro">
    <w:name w:val="intro"/>
    <w:basedOn w:val="Normal"/>
    <w:rsid w:val="00913351"/>
    <w:pPr>
      <w:spacing w:before="100" w:beforeAutospacing="1" w:after="240" w:line="240" w:lineRule="auto"/>
    </w:pPr>
    <w:rPr>
      <w:rFonts w:ascii="Times New Roman" w:eastAsia="Times New Roman" w:hAnsi="Times New Roman"/>
      <w:szCs w:val="24"/>
      <w:lang w:eastAsia="en-GB"/>
    </w:rPr>
  </w:style>
  <w:style w:type="character" w:customStyle="1" w:styleId="apple-converted-space">
    <w:name w:val="apple-converted-space"/>
    <w:basedOn w:val="DefaultParagraphFont"/>
    <w:rsid w:val="00913351"/>
  </w:style>
  <w:style w:type="paragraph" w:styleId="EndnoteText">
    <w:name w:val="endnote text"/>
    <w:basedOn w:val="Normal"/>
    <w:link w:val="EndnoteTextChar"/>
    <w:unhideWhenUsed/>
    <w:locked/>
    <w:rsid w:val="00913351"/>
    <w:pPr>
      <w:spacing w:before="120" w:after="240"/>
    </w:pPr>
    <w:rPr>
      <w:sz w:val="20"/>
      <w:szCs w:val="20"/>
    </w:rPr>
  </w:style>
  <w:style w:type="character" w:customStyle="1" w:styleId="EndnoteTextChar">
    <w:name w:val="Endnote Text Char"/>
    <w:link w:val="EndnoteText"/>
    <w:rsid w:val="00913351"/>
    <w:rPr>
      <w:lang w:eastAsia="en-US"/>
    </w:rPr>
  </w:style>
  <w:style w:type="character" w:styleId="EndnoteReference">
    <w:name w:val="endnote reference"/>
    <w:unhideWhenUsed/>
    <w:locked/>
    <w:rsid w:val="00913351"/>
    <w:rPr>
      <w:vertAlign w:val="superscript"/>
    </w:rPr>
  </w:style>
  <w:style w:type="character" w:customStyle="1" w:styleId="A13">
    <w:name w:val="A13"/>
    <w:uiPriority w:val="99"/>
    <w:rsid w:val="00913351"/>
    <w:rPr>
      <w:rFonts w:cs="OVGLDE+MyriadPro-Light"/>
      <w:color w:val="000000"/>
      <w:sz w:val="16"/>
      <w:szCs w:val="16"/>
    </w:rPr>
  </w:style>
  <w:style w:type="numbering" w:styleId="111111">
    <w:name w:val="Outline List 2"/>
    <w:basedOn w:val="NoList"/>
    <w:locked/>
    <w:rsid w:val="00913351"/>
    <w:pPr>
      <w:numPr>
        <w:numId w:val="20"/>
      </w:numPr>
    </w:pPr>
  </w:style>
  <w:style w:type="paragraph" w:customStyle="1" w:styleId="CM38">
    <w:name w:val="CM38"/>
    <w:basedOn w:val="Default"/>
    <w:next w:val="Default"/>
    <w:uiPriority w:val="99"/>
    <w:rsid w:val="00913351"/>
    <w:pPr>
      <w:spacing w:after="0" w:line="300" w:lineRule="atLeast"/>
    </w:pPr>
    <w:rPr>
      <w:rFonts w:ascii="LPEHM J+ Zurich BT" w:hAnsi="LPEHM J+ Zurich BT" w:cs="Times New Roman"/>
      <w:color w:val="auto"/>
      <w:lang w:eastAsia="en-GB"/>
    </w:rPr>
  </w:style>
  <w:style w:type="paragraph" w:customStyle="1" w:styleId="CM18">
    <w:name w:val="CM18"/>
    <w:basedOn w:val="Default"/>
    <w:next w:val="Default"/>
    <w:uiPriority w:val="99"/>
    <w:rsid w:val="00913351"/>
    <w:pPr>
      <w:spacing w:after="0" w:line="298" w:lineRule="atLeast"/>
    </w:pPr>
    <w:rPr>
      <w:rFonts w:ascii="LPEHM J+ Zurich BT" w:hAnsi="LPEHM J+ Zurich BT" w:cs="Times New Roman"/>
      <w:color w:val="auto"/>
      <w:lang w:eastAsia="en-GB"/>
    </w:rPr>
  </w:style>
  <w:style w:type="paragraph" w:customStyle="1" w:styleId="Pa8">
    <w:name w:val="Pa8"/>
    <w:basedOn w:val="Default"/>
    <w:next w:val="Default"/>
    <w:uiPriority w:val="99"/>
    <w:rsid w:val="00913351"/>
    <w:pPr>
      <w:spacing w:before="0" w:after="0" w:line="191" w:lineRule="atLeast"/>
    </w:pPr>
    <w:rPr>
      <w:rFonts w:ascii="Ubuntu Light" w:eastAsia="Times New Roman" w:hAnsi="Ubuntu Light" w:cs="Times New Roman"/>
      <w:color w:val="auto"/>
      <w:lang w:eastAsia="en-GB"/>
    </w:rPr>
  </w:style>
  <w:style w:type="character" w:customStyle="1" w:styleId="A17">
    <w:name w:val="A17"/>
    <w:uiPriority w:val="99"/>
    <w:rsid w:val="00913351"/>
    <w:rPr>
      <w:rFonts w:cs="Ubuntu Light"/>
      <w:color w:val="000000"/>
      <w:sz w:val="11"/>
      <w:szCs w:val="11"/>
    </w:rPr>
  </w:style>
  <w:style w:type="character" w:styleId="HTMLCite">
    <w:name w:val="HTML Cite"/>
    <w:uiPriority w:val="99"/>
    <w:semiHidden/>
    <w:unhideWhenUsed/>
    <w:locked/>
    <w:rsid w:val="00913351"/>
    <w:rPr>
      <w:i w:val="0"/>
      <w:iCs w:val="0"/>
      <w:color w:val="009933"/>
    </w:rPr>
  </w:style>
  <w:style w:type="table" w:customStyle="1" w:styleId="TableGrid1">
    <w:name w:val="Table Grid1"/>
    <w:basedOn w:val="TableNormal"/>
    <w:next w:val="TableGrid"/>
    <w:uiPriority w:val="59"/>
    <w:rsid w:val="00EB184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1" w:defUIPriority="99" w:defSemiHidden="1" w:defUnhideWhenUsed="1" w:defQFormat="0" w:count="267">
    <w:lsdException w:name="Normal" w:locked="0" w:semiHidden="0" w:uiPriority="0" w:unhideWhenUsed="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uiPriority="10" w:qFormat="1"/>
    <w:lsdException w:name="Default Paragraph Font" w:locked="0" w:uiPriority="1"/>
    <w:lsdException w:name="Subtitle" w:uiPriority="11" w:qFormat="1"/>
    <w:lsdException w:name="FollowedHyperlink" w:uiPriority="0"/>
    <w:lsdException w:name="Strong" w:uiPriority="22" w:qFormat="1"/>
    <w:lsdException w:name="Emphasis" w:uiPriority="2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2" w:uiPriority="0"/>
    <w:lsdException w:name="Balloon Text" w:uiPriority="0"/>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001FF"/>
    <w:pPr>
      <w:spacing w:before="240" w:after="120" w:line="276" w:lineRule="auto"/>
    </w:pPr>
    <w:rPr>
      <w:sz w:val="24"/>
      <w:szCs w:val="22"/>
      <w:lang w:eastAsia="en-US"/>
    </w:rPr>
  </w:style>
  <w:style w:type="paragraph" w:styleId="Heading1">
    <w:name w:val="heading 1"/>
    <w:basedOn w:val="Normal"/>
    <w:next w:val="Normal"/>
    <w:link w:val="Heading1Char"/>
    <w:uiPriority w:val="9"/>
    <w:unhideWhenUsed/>
    <w:qFormat/>
    <w:locked/>
    <w:rsid w:val="00150C3D"/>
    <w:pPr>
      <w:keepNext/>
      <w:keepLines/>
      <w:spacing w:before="480" w:line="240" w:lineRule="auto"/>
      <w:outlineLvl w:val="0"/>
    </w:pPr>
    <w:rPr>
      <w:rFonts w:eastAsia="Times New Roman"/>
      <w:b/>
      <w:bCs/>
      <w:color w:val="878800"/>
      <w:sz w:val="44"/>
      <w:szCs w:val="28"/>
    </w:rPr>
  </w:style>
  <w:style w:type="paragraph" w:styleId="Heading2">
    <w:name w:val="heading 2"/>
    <w:basedOn w:val="Normal"/>
    <w:next w:val="Normal"/>
    <w:link w:val="Heading2Char"/>
    <w:uiPriority w:val="9"/>
    <w:unhideWhenUsed/>
    <w:qFormat/>
    <w:locked/>
    <w:rsid w:val="00150C3D"/>
    <w:pPr>
      <w:keepNext/>
      <w:keepLines/>
      <w:spacing w:before="480" w:line="240" w:lineRule="auto"/>
      <w:outlineLvl w:val="1"/>
    </w:pPr>
    <w:rPr>
      <w:rFonts w:eastAsia="Times New Roman"/>
      <w:b/>
      <w:bCs/>
      <w:color w:val="878800"/>
      <w:sz w:val="36"/>
      <w:szCs w:val="26"/>
    </w:rPr>
  </w:style>
  <w:style w:type="paragraph" w:styleId="Heading3">
    <w:name w:val="heading 3"/>
    <w:basedOn w:val="Normal"/>
    <w:next w:val="Normal"/>
    <w:link w:val="Heading3Char"/>
    <w:uiPriority w:val="9"/>
    <w:unhideWhenUsed/>
    <w:qFormat/>
    <w:locked/>
    <w:rsid w:val="004E273C"/>
    <w:pPr>
      <w:keepNext/>
      <w:keepLines/>
      <w:spacing w:before="360" w:after="0" w:line="240" w:lineRule="auto"/>
      <w:outlineLvl w:val="2"/>
    </w:pPr>
    <w:rPr>
      <w:rFonts w:eastAsia="Times New Roman"/>
      <w:b/>
      <w:bCs/>
      <w:color w:val="404040"/>
      <w:sz w:val="28"/>
    </w:rPr>
  </w:style>
  <w:style w:type="paragraph" w:styleId="Heading4">
    <w:name w:val="heading 4"/>
    <w:basedOn w:val="Normal"/>
    <w:next w:val="Normal"/>
    <w:link w:val="Heading4Char"/>
    <w:uiPriority w:val="9"/>
    <w:unhideWhenUsed/>
    <w:qFormat/>
    <w:locked/>
    <w:rsid w:val="001D6FF1"/>
    <w:pPr>
      <w:keepNext/>
      <w:keepLines/>
      <w:outlineLvl w:val="3"/>
    </w:pPr>
    <w:rPr>
      <w:rFonts w:eastAsia="Times New Roman"/>
      <w:b/>
      <w:bCs/>
      <w:i/>
      <w:iCs/>
      <w:color w:val="000000"/>
    </w:rPr>
  </w:style>
  <w:style w:type="paragraph" w:styleId="Heading5">
    <w:name w:val="heading 5"/>
    <w:basedOn w:val="Normal"/>
    <w:next w:val="Normal"/>
    <w:link w:val="Heading5Char"/>
    <w:uiPriority w:val="9"/>
    <w:unhideWhenUsed/>
    <w:qFormat/>
    <w:locked/>
    <w:rsid w:val="001D6FF1"/>
    <w:pPr>
      <w:outlineLvl w:val="4"/>
    </w:pPr>
    <w:rPr>
      <w:rFonts w:eastAsia="Times New Roman"/>
      <w:b/>
      <w:bCs/>
      <w:i/>
      <w:iCs/>
      <w:color w:val="000000"/>
      <w:sz w:val="22"/>
      <w:szCs w:val="26"/>
    </w:rPr>
  </w:style>
  <w:style w:type="paragraph" w:styleId="Heading6">
    <w:name w:val="heading 6"/>
    <w:basedOn w:val="Normal"/>
    <w:next w:val="Normal"/>
    <w:link w:val="Heading6Char"/>
    <w:uiPriority w:val="9"/>
    <w:unhideWhenUsed/>
    <w:qFormat/>
    <w:locked/>
    <w:rsid w:val="00913351"/>
    <w:pPr>
      <w:pBdr>
        <w:bottom w:val="dotted" w:sz="6" w:space="1" w:color="4F81BD"/>
      </w:pBdr>
      <w:spacing w:before="300" w:after="0"/>
      <w:outlineLvl w:val="5"/>
    </w:pPr>
    <w:rPr>
      <w:rFonts w:ascii="Calibri" w:eastAsia="Times New Roman" w:hAnsi="Calibri"/>
      <w:caps/>
      <w:color w:val="365F91"/>
      <w:spacing w:val="10"/>
      <w:sz w:val="20"/>
      <w:szCs w:val="20"/>
    </w:rPr>
  </w:style>
  <w:style w:type="paragraph" w:styleId="Heading7">
    <w:name w:val="heading 7"/>
    <w:basedOn w:val="Normal"/>
    <w:next w:val="Normal"/>
    <w:link w:val="Heading7Char"/>
    <w:uiPriority w:val="9"/>
    <w:unhideWhenUsed/>
    <w:qFormat/>
    <w:locked/>
    <w:rsid w:val="00913351"/>
    <w:pPr>
      <w:spacing w:before="300" w:after="0"/>
      <w:outlineLvl w:val="6"/>
    </w:pPr>
    <w:rPr>
      <w:rFonts w:ascii="Calibri" w:eastAsia="Times New Roman" w:hAnsi="Calibri"/>
      <w:caps/>
      <w:color w:val="365F91"/>
      <w:spacing w:val="10"/>
      <w:sz w:val="20"/>
      <w:szCs w:val="20"/>
    </w:rPr>
  </w:style>
  <w:style w:type="paragraph" w:styleId="Heading8">
    <w:name w:val="heading 8"/>
    <w:basedOn w:val="Normal"/>
    <w:next w:val="Normal"/>
    <w:link w:val="Heading8Char"/>
    <w:uiPriority w:val="9"/>
    <w:unhideWhenUsed/>
    <w:qFormat/>
    <w:locked/>
    <w:rsid w:val="00913351"/>
    <w:pPr>
      <w:spacing w:before="300" w:after="0"/>
      <w:outlineLvl w:val="7"/>
    </w:pPr>
    <w:rPr>
      <w:rFonts w:ascii="Calibri" w:eastAsia="Times New Roman" w:hAnsi="Calibri"/>
      <w:caps/>
      <w:spacing w:val="10"/>
      <w:sz w:val="18"/>
      <w:szCs w:val="18"/>
    </w:rPr>
  </w:style>
  <w:style w:type="paragraph" w:styleId="Heading9">
    <w:name w:val="heading 9"/>
    <w:basedOn w:val="Normal"/>
    <w:next w:val="Normal"/>
    <w:link w:val="Heading9Char"/>
    <w:uiPriority w:val="9"/>
    <w:unhideWhenUsed/>
    <w:qFormat/>
    <w:locked/>
    <w:rsid w:val="00913351"/>
    <w:pPr>
      <w:spacing w:before="300" w:after="0"/>
      <w:outlineLvl w:val="8"/>
    </w:pPr>
    <w:rPr>
      <w:rFonts w:ascii="Calibri" w:eastAsia="Times New Roman" w:hAnsi="Calibr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34567"/>
    <w:rPr>
      <w:rFonts w:eastAsia="Times New Roman"/>
      <w:b/>
      <w:bCs/>
      <w:color w:val="878800"/>
      <w:sz w:val="44"/>
      <w:szCs w:val="28"/>
      <w:lang w:eastAsia="en-US"/>
    </w:rPr>
  </w:style>
  <w:style w:type="character" w:customStyle="1" w:styleId="Heading2Char">
    <w:name w:val="Heading 2 Char"/>
    <w:link w:val="Heading2"/>
    <w:uiPriority w:val="9"/>
    <w:rsid w:val="00934567"/>
    <w:rPr>
      <w:rFonts w:eastAsia="Times New Roman"/>
      <w:b/>
      <w:bCs/>
      <w:color w:val="878800"/>
      <w:sz w:val="36"/>
      <w:szCs w:val="26"/>
      <w:lang w:eastAsia="en-US"/>
    </w:rPr>
  </w:style>
  <w:style w:type="character" w:customStyle="1" w:styleId="Heading3Char">
    <w:name w:val="Heading 3 Char"/>
    <w:link w:val="Heading3"/>
    <w:uiPriority w:val="9"/>
    <w:rsid w:val="00934567"/>
    <w:rPr>
      <w:rFonts w:eastAsia="Times New Roman"/>
      <w:b/>
      <w:bCs/>
      <w:color w:val="404040"/>
      <w:sz w:val="28"/>
      <w:szCs w:val="22"/>
      <w:lang w:eastAsia="en-US"/>
    </w:rPr>
  </w:style>
  <w:style w:type="character" w:customStyle="1" w:styleId="Heading4Char">
    <w:name w:val="Heading 4 Char"/>
    <w:link w:val="Heading4"/>
    <w:uiPriority w:val="9"/>
    <w:rsid w:val="00D50BE4"/>
    <w:rPr>
      <w:rFonts w:eastAsia="Times New Roman"/>
      <w:b/>
      <w:bCs/>
      <w:i/>
      <w:iCs/>
      <w:color w:val="000000"/>
      <w:sz w:val="24"/>
      <w:szCs w:val="22"/>
      <w:lang w:eastAsia="en-US"/>
    </w:rPr>
  </w:style>
  <w:style w:type="paragraph" w:customStyle="1" w:styleId="Contents">
    <w:name w:val="Contents"/>
    <w:basedOn w:val="Normal"/>
    <w:uiPriority w:val="8"/>
    <w:qFormat/>
    <w:rsid w:val="00150C3D"/>
    <w:pPr>
      <w:spacing w:before="0"/>
    </w:pPr>
    <w:rPr>
      <w:b/>
      <w:color w:val="878800"/>
      <w:sz w:val="28"/>
    </w:rPr>
  </w:style>
  <w:style w:type="paragraph" w:styleId="BalloonText">
    <w:name w:val="Balloon Text"/>
    <w:basedOn w:val="Normal"/>
    <w:link w:val="BalloonTextChar"/>
    <w:unhideWhenUsed/>
    <w:locked/>
    <w:rsid w:val="005E6B7E"/>
    <w:pPr>
      <w:spacing w:before="0" w:after="0"/>
    </w:pPr>
    <w:rPr>
      <w:rFonts w:ascii="Tahoma" w:hAnsi="Tahoma"/>
      <w:sz w:val="16"/>
      <w:szCs w:val="16"/>
    </w:rPr>
  </w:style>
  <w:style w:type="character" w:customStyle="1" w:styleId="BalloonTextChar">
    <w:name w:val="Balloon Text Char"/>
    <w:link w:val="BalloonText"/>
    <w:rsid w:val="005E6B7E"/>
    <w:rPr>
      <w:rFonts w:ascii="Tahoma" w:hAnsi="Tahoma" w:cs="Tahoma"/>
      <w:sz w:val="16"/>
      <w:szCs w:val="16"/>
    </w:rPr>
  </w:style>
  <w:style w:type="character" w:styleId="Hyperlink">
    <w:name w:val="Hyperlink"/>
    <w:uiPriority w:val="99"/>
    <w:locked/>
    <w:rsid w:val="00241F9E"/>
    <w:rPr>
      <w:color w:val="0000FF"/>
      <w:u w:val="single"/>
    </w:rPr>
  </w:style>
  <w:style w:type="paragraph" w:styleId="TOCHeading">
    <w:name w:val="TOC Heading"/>
    <w:basedOn w:val="Heading1"/>
    <w:next w:val="Normal"/>
    <w:uiPriority w:val="39"/>
    <w:unhideWhenUsed/>
    <w:qFormat/>
    <w:locked/>
    <w:rsid w:val="00316023"/>
    <w:pPr>
      <w:spacing w:after="0" w:line="276" w:lineRule="auto"/>
      <w:outlineLvl w:val="9"/>
    </w:pPr>
    <w:rPr>
      <w:rFonts w:ascii="Cambria" w:hAnsi="Cambria"/>
      <w:color w:val="365F91"/>
      <w:sz w:val="28"/>
      <w:lang w:val="en-US"/>
    </w:rPr>
  </w:style>
  <w:style w:type="paragraph" w:styleId="TOC3">
    <w:name w:val="toc 3"/>
    <w:basedOn w:val="Normal"/>
    <w:next w:val="Normal"/>
    <w:autoRedefine/>
    <w:uiPriority w:val="39"/>
    <w:unhideWhenUsed/>
    <w:qFormat/>
    <w:locked/>
    <w:rsid w:val="00316023"/>
    <w:pPr>
      <w:ind w:left="480"/>
    </w:pPr>
  </w:style>
  <w:style w:type="paragraph" w:styleId="TOC1">
    <w:name w:val="toc 1"/>
    <w:basedOn w:val="Normal"/>
    <w:next w:val="Normal"/>
    <w:autoRedefine/>
    <w:uiPriority w:val="39"/>
    <w:unhideWhenUsed/>
    <w:qFormat/>
    <w:locked/>
    <w:rsid w:val="00AD1792"/>
    <w:pPr>
      <w:tabs>
        <w:tab w:val="right" w:leader="dot" w:pos="9628"/>
      </w:tabs>
      <w:spacing w:line="240" w:lineRule="auto"/>
    </w:pPr>
  </w:style>
  <w:style w:type="paragraph" w:styleId="Header">
    <w:name w:val="header"/>
    <w:basedOn w:val="Normal"/>
    <w:link w:val="HeaderChar"/>
    <w:unhideWhenUsed/>
    <w:locked/>
    <w:rsid w:val="00EF7E2A"/>
    <w:pPr>
      <w:tabs>
        <w:tab w:val="center" w:pos="4513"/>
        <w:tab w:val="right" w:pos="9026"/>
      </w:tabs>
    </w:pPr>
  </w:style>
  <w:style w:type="character" w:customStyle="1" w:styleId="HeaderChar">
    <w:name w:val="Header Char"/>
    <w:link w:val="Header"/>
    <w:rsid w:val="00EF7E2A"/>
    <w:rPr>
      <w:sz w:val="24"/>
      <w:szCs w:val="22"/>
      <w:lang w:eastAsia="en-US"/>
    </w:rPr>
  </w:style>
  <w:style w:type="paragraph" w:styleId="Footer">
    <w:name w:val="footer"/>
    <w:basedOn w:val="Normal"/>
    <w:link w:val="FooterChar"/>
    <w:uiPriority w:val="99"/>
    <w:unhideWhenUsed/>
    <w:locked/>
    <w:rsid w:val="00EF7E2A"/>
    <w:pPr>
      <w:tabs>
        <w:tab w:val="center" w:pos="4513"/>
        <w:tab w:val="right" w:pos="9026"/>
      </w:tabs>
    </w:pPr>
  </w:style>
  <w:style w:type="character" w:customStyle="1" w:styleId="FooterChar">
    <w:name w:val="Footer Char"/>
    <w:link w:val="Footer"/>
    <w:uiPriority w:val="99"/>
    <w:rsid w:val="00EF7E2A"/>
    <w:rPr>
      <w:sz w:val="24"/>
      <w:szCs w:val="22"/>
      <w:lang w:eastAsia="en-US"/>
    </w:rPr>
  </w:style>
  <w:style w:type="table" w:styleId="TableGrid">
    <w:name w:val="Table Grid"/>
    <w:basedOn w:val="TableNormal"/>
    <w:locked/>
    <w:rsid w:val="00831C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raGreen1">
    <w:name w:val="Defra Green 1"/>
    <w:basedOn w:val="TableNormal"/>
    <w:uiPriority w:val="99"/>
    <w:qFormat/>
    <w:rsid w:val="00C16D79"/>
    <w:pPr>
      <w:spacing w:before="60" w:after="80"/>
    </w:pPr>
    <w:rPr>
      <w:sz w:val="22"/>
    </w:rPr>
    <w:tblPr>
      <w:tblInd w:w="0" w:type="dxa"/>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CellMar>
        <w:top w:w="0" w:type="dxa"/>
        <w:left w:w="108" w:type="dxa"/>
        <w:bottom w:w="0" w:type="dxa"/>
        <w:right w:w="108" w:type="dxa"/>
      </w:tblCellMar>
    </w:tblPr>
    <w:tblStylePr w:type="firstRow">
      <w:rPr>
        <w:rFonts w:ascii="Arial" w:hAnsi="Arial"/>
        <w:color w:val="FFFFFF"/>
        <w:sz w:val="28"/>
      </w:rPr>
      <w:tblPr/>
      <w:tcPr>
        <w:shd w:val="clear" w:color="auto" w:fill="878800"/>
      </w:tcPr>
    </w:tblStylePr>
    <w:tblStylePr w:type="firstCol">
      <w:tblPr/>
      <w:tcPr>
        <w:shd w:val="clear" w:color="auto" w:fill="C9C98C"/>
      </w:tcPr>
    </w:tblStylePr>
  </w:style>
  <w:style w:type="table" w:customStyle="1" w:styleId="DefraGreen2">
    <w:name w:val="Defra Green 2"/>
    <w:basedOn w:val="DefraGreen1"/>
    <w:uiPriority w:val="99"/>
    <w:qFormat/>
    <w:rsid w:val="00F23BD3"/>
    <w:tblPr>
      <w:tblInd w:w="0" w:type="dxa"/>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CellMar>
        <w:top w:w="0" w:type="dxa"/>
        <w:left w:w="108" w:type="dxa"/>
        <w:bottom w:w="0" w:type="dxa"/>
        <w:right w:w="108" w:type="dxa"/>
      </w:tblCellMar>
    </w:tblPr>
    <w:tcPr>
      <w:shd w:val="clear" w:color="auto" w:fill="auto"/>
    </w:tcPr>
    <w:tblStylePr w:type="firstRow">
      <w:rPr>
        <w:rFonts w:ascii="Arial" w:hAnsi="Arial"/>
        <w:color w:val="FFFFFF"/>
        <w:sz w:val="28"/>
      </w:rPr>
      <w:tblPr/>
      <w:tcPr>
        <w:shd w:val="clear" w:color="auto" w:fill="878800"/>
      </w:tcPr>
    </w:tblStylePr>
    <w:tblStylePr w:type="firstCol">
      <w:tblPr/>
      <w:tcPr>
        <w:shd w:val="clear" w:color="auto" w:fill="FFFFFF"/>
      </w:tcPr>
    </w:tblStylePr>
  </w:style>
  <w:style w:type="character" w:customStyle="1" w:styleId="TableTextCharChar">
    <w:name w:val="Table Text Char Char"/>
    <w:link w:val="TableText"/>
    <w:rsid w:val="009C6F90"/>
    <w:rPr>
      <w:sz w:val="22"/>
      <w:szCs w:val="22"/>
      <w:lang w:eastAsia="en-US"/>
    </w:rPr>
  </w:style>
  <w:style w:type="paragraph" w:customStyle="1" w:styleId="TableText">
    <w:name w:val="Table Text"/>
    <w:basedOn w:val="Normal"/>
    <w:link w:val="TableTextCharChar"/>
    <w:qFormat/>
    <w:rsid w:val="009C6F90"/>
    <w:pPr>
      <w:spacing w:before="60" w:after="80"/>
    </w:pPr>
    <w:rPr>
      <w:sz w:val="22"/>
    </w:rPr>
  </w:style>
  <w:style w:type="paragraph" w:styleId="TOC2">
    <w:name w:val="toc 2"/>
    <w:basedOn w:val="Normal"/>
    <w:next w:val="Normal"/>
    <w:autoRedefine/>
    <w:uiPriority w:val="39"/>
    <w:unhideWhenUsed/>
    <w:qFormat/>
    <w:locked/>
    <w:rsid w:val="00860216"/>
    <w:pPr>
      <w:ind w:left="240"/>
    </w:pPr>
  </w:style>
  <w:style w:type="paragraph" w:customStyle="1" w:styleId="PubTitle">
    <w:name w:val="Pub Title"/>
    <w:basedOn w:val="Normal"/>
    <w:next w:val="Normal"/>
    <w:uiPriority w:val="5"/>
    <w:qFormat/>
    <w:rsid w:val="009A6600"/>
    <w:pPr>
      <w:spacing w:before="2040"/>
    </w:pPr>
    <w:rPr>
      <w:rFonts w:cs="Arial"/>
      <w:b/>
      <w:color w:val="878800"/>
      <w:sz w:val="44"/>
      <w:szCs w:val="44"/>
    </w:rPr>
  </w:style>
  <w:style w:type="paragraph" w:customStyle="1" w:styleId="PubSubtitle">
    <w:name w:val="Pub Subtitle"/>
    <w:basedOn w:val="Normal"/>
    <w:next w:val="Normal"/>
    <w:uiPriority w:val="6"/>
    <w:qFormat/>
    <w:rsid w:val="009A6600"/>
    <w:pPr>
      <w:spacing w:before="0"/>
    </w:pPr>
    <w:rPr>
      <w:rFonts w:cs="Arial"/>
      <w:b/>
      <w:color w:val="878800"/>
      <w:sz w:val="40"/>
      <w:szCs w:val="40"/>
    </w:rPr>
  </w:style>
  <w:style w:type="paragraph" w:styleId="ListParagraph">
    <w:name w:val="List Paragraph"/>
    <w:aliases w:val="Bullet Style"/>
    <w:basedOn w:val="Normal"/>
    <w:uiPriority w:val="34"/>
    <w:qFormat/>
    <w:locked/>
    <w:rsid w:val="002062D2"/>
    <w:pPr>
      <w:ind w:left="720"/>
      <w:contextualSpacing/>
    </w:pPr>
  </w:style>
  <w:style w:type="character" w:customStyle="1" w:styleId="Heading5Char">
    <w:name w:val="Heading 5 Char"/>
    <w:link w:val="Heading5"/>
    <w:uiPriority w:val="9"/>
    <w:rsid w:val="001D6FF1"/>
    <w:rPr>
      <w:rFonts w:eastAsia="Times New Roman" w:cs="Times New Roman"/>
      <w:b/>
      <w:bCs/>
      <w:i/>
      <w:iCs/>
      <w:color w:val="000000"/>
      <w:sz w:val="22"/>
      <w:szCs w:val="26"/>
      <w:lang w:eastAsia="en-US"/>
    </w:rPr>
  </w:style>
  <w:style w:type="paragraph" w:customStyle="1" w:styleId="PubDate">
    <w:name w:val="Pub Date"/>
    <w:basedOn w:val="Normal"/>
    <w:next w:val="Normal"/>
    <w:uiPriority w:val="7"/>
    <w:qFormat/>
    <w:rsid w:val="00CA72FC"/>
    <w:rPr>
      <w:b/>
      <w:color w:val="878800"/>
      <w:sz w:val="32"/>
    </w:rPr>
  </w:style>
  <w:style w:type="character" w:customStyle="1" w:styleId="Heading6Char">
    <w:name w:val="Heading 6 Char"/>
    <w:link w:val="Heading6"/>
    <w:uiPriority w:val="9"/>
    <w:rsid w:val="00913351"/>
    <w:rPr>
      <w:rFonts w:ascii="Calibri" w:eastAsia="Times New Roman" w:hAnsi="Calibri"/>
      <w:caps/>
      <w:color w:val="365F91"/>
      <w:spacing w:val="10"/>
    </w:rPr>
  </w:style>
  <w:style w:type="paragraph" w:styleId="Caption">
    <w:name w:val="caption"/>
    <w:basedOn w:val="Normal"/>
    <w:next w:val="Normal"/>
    <w:uiPriority w:val="35"/>
    <w:qFormat/>
    <w:locked/>
    <w:rsid w:val="005001FF"/>
    <w:pPr>
      <w:keepNext/>
      <w:spacing w:before="360"/>
    </w:pPr>
    <w:rPr>
      <w:b/>
      <w:bCs/>
      <w:sz w:val="22"/>
      <w:szCs w:val="20"/>
    </w:rPr>
  </w:style>
  <w:style w:type="character" w:customStyle="1" w:styleId="Heading7Char">
    <w:name w:val="Heading 7 Char"/>
    <w:link w:val="Heading7"/>
    <w:uiPriority w:val="9"/>
    <w:rsid w:val="00913351"/>
    <w:rPr>
      <w:rFonts w:ascii="Calibri" w:eastAsia="Times New Roman" w:hAnsi="Calibri"/>
      <w:caps/>
      <w:color w:val="365F91"/>
      <w:spacing w:val="10"/>
    </w:rPr>
  </w:style>
  <w:style w:type="character" w:customStyle="1" w:styleId="Heading8Char">
    <w:name w:val="Heading 8 Char"/>
    <w:link w:val="Heading8"/>
    <w:uiPriority w:val="9"/>
    <w:rsid w:val="00913351"/>
    <w:rPr>
      <w:rFonts w:ascii="Calibri" w:eastAsia="Times New Roman" w:hAnsi="Calibri"/>
      <w:caps/>
      <w:spacing w:val="10"/>
      <w:sz w:val="18"/>
      <w:szCs w:val="18"/>
    </w:rPr>
  </w:style>
  <w:style w:type="character" w:customStyle="1" w:styleId="Heading9Char">
    <w:name w:val="Heading 9 Char"/>
    <w:link w:val="Heading9"/>
    <w:uiPriority w:val="9"/>
    <w:rsid w:val="00913351"/>
    <w:rPr>
      <w:rFonts w:ascii="Calibri" w:eastAsia="Times New Roman" w:hAnsi="Calibri"/>
      <w:i/>
      <w:caps/>
      <w:spacing w:val="10"/>
      <w:sz w:val="18"/>
      <w:szCs w:val="18"/>
    </w:rPr>
  </w:style>
  <w:style w:type="paragraph" w:styleId="Title">
    <w:name w:val="Title"/>
    <w:basedOn w:val="Normal"/>
    <w:next w:val="Normal"/>
    <w:link w:val="TitleChar"/>
    <w:uiPriority w:val="10"/>
    <w:qFormat/>
    <w:locked/>
    <w:rsid w:val="00913351"/>
    <w:pPr>
      <w:spacing w:before="720" w:after="200"/>
    </w:pPr>
    <w:rPr>
      <w:rFonts w:ascii="Calibri" w:eastAsia="Times New Roman" w:hAnsi="Calibri"/>
      <w:caps/>
      <w:color w:val="4F81BD"/>
      <w:spacing w:val="10"/>
      <w:kern w:val="28"/>
      <w:sz w:val="52"/>
      <w:szCs w:val="52"/>
    </w:rPr>
  </w:style>
  <w:style w:type="character" w:customStyle="1" w:styleId="TitleChar">
    <w:name w:val="Title Char"/>
    <w:link w:val="Title"/>
    <w:uiPriority w:val="10"/>
    <w:rsid w:val="00913351"/>
    <w:rPr>
      <w:rFonts w:ascii="Calibri" w:eastAsia="Times New Roman" w:hAnsi="Calibri"/>
      <w:caps/>
      <w:color w:val="4F81BD"/>
      <w:spacing w:val="10"/>
      <w:kern w:val="28"/>
      <w:sz w:val="52"/>
      <w:szCs w:val="52"/>
    </w:rPr>
  </w:style>
  <w:style w:type="paragraph" w:styleId="Subtitle">
    <w:name w:val="Subtitle"/>
    <w:basedOn w:val="Normal"/>
    <w:next w:val="Normal"/>
    <w:link w:val="SubtitleChar"/>
    <w:uiPriority w:val="11"/>
    <w:qFormat/>
    <w:locked/>
    <w:rsid w:val="00913351"/>
    <w:pPr>
      <w:spacing w:before="200" w:after="1000" w:line="240" w:lineRule="auto"/>
    </w:pPr>
    <w:rPr>
      <w:rFonts w:ascii="Calibri" w:eastAsia="Times New Roman" w:hAnsi="Calibri"/>
      <w:caps/>
      <w:color w:val="595959"/>
      <w:spacing w:val="10"/>
      <w:szCs w:val="24"/>
    </w:rPr>
  </w:style>
  <w:style w:type="character" w:customStyle="1" w:styleId="SubtitleChar">
    <w:name w:val="Subtitle Char"/>
    <w:link w:val="Subtitle"/>
    <w:uiPriority w:val="11"/>
    <w:rsid w:val="00913351"/>
    <w:rPr>
      <w:rFonts w:ascii="Calibri" w:eastAsia="Times New Roman" w:hAnsi="Calibri"/>
      <w:caps/>
      <w:color w:val="595959"/>
      <w:spacing w:val="10"/>
      <w:sz w:val="24"/>
      <w:szCs w:val="24"/>
    </w:rPr>
  </w:style>
  <w:style w:type="character" w:styleId="Strong">
    <w:name w:val="Strong"/>
    <w:uiPriority w:val="22"/>
    <w:qFormat/>
    <w:locked/>
    <w:rsid w:val="00913351"/>
    <w:rPr>
      <w:b/>
      <w:bCs/>
    </w:rPr>
  </w:style>
  <w:style w:type="character" w:styleId="Emphasis">
    <w:name w:val="Emphasis"/>
    <w:uiPriority w:val="20"/>
    <w:qFormat/>
    <w:locked/>
    <w:rsid w:val="00913351"/>
    <w:rPr>
      <w:caps/>
      <w:color w:val="243F60"/>
      <w:spacing w:val="5"/>
    </w:rPr>
  </w:style>
  <w:style w:type="paragraph" w:styleId="NoSpacing">
    <w:name w:val="No Spacing"/>
    <w:basedOn w:val="Normal"/>
    <w:link w:val="NoSpacingChar"/>
    <w:uiPriority w:val="1"/>
    <w:qFormat/>
    <w:locked/>
    <w:rsid w:val="00913351"/>
    <w:pPr>
      <w:spacing w:before="0" w:after="0" w:line="240" w:lineRule="auto"/>
    </w:pPr>
    <w:rPr>
      <w:rFonts w:ascii="Calibri" w:eastAsia="Times New Roman" w:hAnsi="Calibri"/>
      <w:sz w:val="20"/>
      <w:szCs w:val="20"/>
    </w:rPr>
  </w:style>
  <w:style w:type="paragraph" w:styleId="Quote">
    <w:name w:val="Quote"/>
    <w:basedOn w:val="Normal"/>
    <w:next w:val="Normal"/>
    <w:link w:val="QuoteChar"/>
    <w:uiPriority w:val="29"/>
    <w:qFormat/>
    <w:locked/>
    <w:rsid w:val="00913351"/>
    <w:pPr>
      <w:spacing w:before="200" w:after="200"/>
    </w:pPr>
    <w:rPr>
      <w:rFonts w:ascii="Calibri" w:eastAsia="Times New Roman" w:hAnsi="Calibri"/>
      <w:i/>
      <w:iCs/>
      <w:sz w:val="20"/>
      <w:szCs w:val="20"/>
    </w:rPr>
  </w:style>
  <w:style w:type="character" w:customStyle="1" w:styleId="QuoteChar">
    <w:name w:val="Quote Char"/>
    <w:link w:val="Quote"/>
    <w:uiPriority w:val="29"/>
    <w:rsid w:val="00913351"/>
    <w:rPr>
      <w:rFonts w:ascii="Calibri" w:eastAsia="Times New Roman" w:hAnsi="Calibri"/>
      <w:i/>
      <w:iCs/>
    </w:rPr>
  </w:style>
  <w:style w:type="paragraph" w:styleId="IntenseQuote">
    <w:name w:val="Intense Quote"/>
    <w:basedOn w:val="Normal"/>
    <w:next w:val="Normal"/>
    <w:link w:val="IntenseQuoteChar"/>
    <w:uiPriority w:val="30"/>
    <w:qFormat/>
    <w:locked/>
    <w:rsid w:val="00913351"/>
    <w:pPr>
      <w:pBdr>
        <w:top w:val="single" w:sz="4" w:space="10" w:color="4F81BD"/>
        <w:left w:val="single" w:sz="4" w:space="10" w:color="4F81BD"/>
      </w:pBdr>
      <w:spacing w:before="200" w:after="0"/>
      <w:ind w:left="1296" w:right="1152"/>
      <w:jc w:val="both"/>
    </w:pPr>
    <w:rPr>
      <w:rFonts w:ascii="Calibri" w:eastAsia="Times New Roman" w:hAnsi="Calibri"/>
      <w:i/>
      <w:iCs/>
      <w:color w:val="4F81BD"/>
      <w:sz w:val="20"/>
      <w:szCs w:val="20"/>
    </w:rPr>
  </w:style>
  <w:style w:type="character" w:customStyle="1" w:styleId="IntenseQuoteChar">
    <w:name w:val="Intense Quote Char"/>
    <w:link w:val="IntenseQuote"/>
    <w:uiPriority w:val="30"/>
    <w:rsid w:val="00913351"/>
    <w:rPr>
      <w:rFonts w:ascii="Calibri" w:eastAsia="Times New Roman" w:hAnsi="Calibri"/>
      <w:i/>
      <w:iCs/>
      <w:color w:val="4F81BD"/>
    </w:rPr>
  </w:style>
  <w:style w:type="character" w:styleId="SubtleEmphasis">
    <w:name w:val="Subtle Emphasis"/>
    <w:uiPriority w:val="19"/>
    <w:qFormat/>
    <w:locked/>
    <w:rsid w:val="00913351"/>
    <w:rPr>
      <w:i/>
      <w:iCs/>
      <w:color w:val="243F60"/>
    </w:rPr>
  </w:style>
  <w:style w:type="character" w:styleId="IntenseEmphasis">
    <w:name w:val="Intense Emphasis"/>
    <w:uiPriority w:val="21"/>
    <w:qFormat/>
    <w:locked/>
    <w:rsid w:val="00913351"/>
    <w:rPr>
      <w:b/>
      <w:bCs/>
      <w:caps/>
      <w:color w:val="243F60"/>
      <w:spacing w:val="10"/>
    </w:rPr>
  </w:style>
  <w:style w:type="character" w:styleId="SubtleReference">
    <w:name w:val="Subtle Reference"/>
    <w:uiPriority w:val="31"/>
    <w:qFormat/>
    <w:locked/>
    <w:rsid w:val="00913351"/>
    <w:rPr>
      <w:b/>
      <w:bCs/>
      <w:color w:val="4F81BD"/>
    </w:rPr>
  </w:style>
  <w:style w:type="character" w:styleId="IntenseReference">
    <w:name w:val="Intense Reference"/>
    <w:uiPriority w:val="32"/>
    <w:qFormat/>
    <w:locked/>
    <w:rsid w:val="00913351"/>
    <w:rPr>
      <w:b/>
      <w:bCs/>
      <w:i/>
      <w:iCs/>
      <w:caps/>
      <w:color w:val="4F81BD"/>
    </w:rPr>
  </w:style>
  <w:style w:type="character" w:styleId="BookTitle">
    <w:name w:val="Book Title"/>
    <w:uiPriority w:val="33"/>
    <w:qFormat/>
    <w:locked/>
    <w:rsid w:val="00913351"/>
    <w:rPr>
      <w:b/>
      <w:bCs/>
      <w:i/>
      <w:iCs/>
      <w:spacing w:val="9"/>
    </w:rPr>
  </w:style>
  <w:style w:type="paragraph" w:customStyle="1" w:styleId="Default">
    <w:name w:val="Default"/>
    <w:rsid w:val="00913351"/>
    <w:pPr>
      <w:autoSpaceDE w:val="0"/>
      <w:autoSpaceDN w:val="0"/>
      <w:adjustRightInd w:val="0"/>
      <w:spacing w:before="200" w:after="200" w:line="276" w:lineRule="auto"/>
    </w:pPr>
    <w:rPr>
      <w:rFonts w:cs="Arial"/>
      <w:color w:val="000000"/>
      <w:sz w:val="24"/>
      <w:szCs w:val="24"/>
      <w:lang w:eastAsia="en-US"/>
    </w:rPr>
  </w:style>
  <w:style w:type="paragraph" w:styleId="FootnoteText">
    <w:name w:val="footnote text"/>
    <w:basedOn w:val="Normal"/>
    <w:link w:val="FootnoteTextChar"/>
    <w:uiPriority w:val="99"/>
    <w:locked/>
    <w:rsid w:val="00913351"/>
    <w:pPr>
      <w:spacing w:before="0" w:after="0" w:line="240" w:lineRule="auto"/>
    </w:pPr>
    <w:rPr>
      <w:rFonts w:eastAsia="Times New Roman"/>
      <w:sz w:val="20"/>
      <w:szCs w:val="20"/>
    </w:rPr>
  </w:style>
  <w:style w:type="character" w:customStyle="1" w:styleId="FootnoteTextChar">
    <w:name w:val="Footnote Text Char"/>
    <w:link w:val="FootnoteText"/>
    <w:uiPriority w:val="99"/>
    <w:rsid w:val="00913351"/>
    <w:rPr>
      <w:rFonts w:eastAsia="Times New Roman"/>
    </w:rPr>
  </w:style>
  <w:style w:type="character" w:styleId="FootnoteReference">
    <w:name w:val="footnote reference"/>
    <w:locked/>
    <w:rsid w:val="00913351"/>
    <w:rPr>
      <w:vertAlign w:val="superscript"/>
    </w:rPr>
  </w:style>
  <w:style w:type="paragraph" w:styleId="NormalWeb">
    <w:name w:val="Normal (Web)"/>
    <w:basedOn w:val="Normal"/>
    <w:uiPriority w:val="99"/>
    <w:unhideWhenUsed/>
    <w:locked/>
    <w:rsid w:val="00913351"/>
    <w:pPr>
      <w:spacing w:before="100" w:beforeAutospacing="1" w:after="100" w:afterAutospacing="1" w:line="240" w:lineRule="auto"/>
    </w:pPr>
    <w:rPr>
      <w:rFonts w:ascii="Times New Roman" w:eastAsia="Times New Roman" w:hAnsi="Times New Roman"/>
      <w:szCs w:val="24"/>
      <w:lang w:val="en-US" w:eastAsia="en-GB" w:bidi="en-US"/>
    </w:rPr>
  </w:style>
  <w:style w:type="character" w:styleId="CommentReference">
    <w:name w:val="annotation reference"/>
    <w:unhideWhenUsed/>
    <w:locked/>
    <w:rsid w:val="00913351"/>
    <w:rPr>
      <w:sz w:val="16"/>
      <w:szCs w:val="16"/>
    </w:rPr>
  </w:style>
  <w:style w:type="paragraph" w:styleId="CommentText">
    <w:name w:val="annotation text"/>
    <w:basedOn w:val="Normal"/>
    <w:link w:val="CommentTextChar"/>
    <w:unhideWhenUsed/>
    <w:locked/>
    <w:rsid w:val="00913351"/>
    <w:pPr>
      <w:spacing w:before="200" w:after="200"/>
    </w:pPr>
    <w:rPr>
      <w:sz w:val="20"/>
      <w:szCs w:val="20"/>
    </w:rPr>
  </w:style>
  <w:style w:type="character" w:customStyle="1" w:styleId="CommentTextChar">
    <w:name w:val="Comment Text Char"/>
    <w:link w:val="CommentText"/>
    <w:rsid w:val="00913351"/>
    <w:rPr>
      <w:lang w:eastAsia="en-US"/>
    </w:rPr>
  </w:style>
  <w:style w:type="paragraph" w:styleId="CommentSubject">
    <w:name w:val="annotation subject"/>
    <w:basedOn w:val="CommentText"/>
    <w:next w:val="CommentText"/>
    <w:link w:val="CommentSubjectChar"/>
    <w:unhideWhenUsed/>
    <w:locked/>
    <w:rsid w:val="00913351"/>
    <w:rPr>
      <w:b/>
      <w:bCs/>
    </w:rPr>
  </w:style>
  <w:style w:type="character" w:customStyle="1" w:styleId="CommentSubjectChar">
    <w:name w:val="Comment Subject Char"/>
    <w:link w:val="CommentSubject"/>
    <w:rsid w:val="00913351"/>
    <w:rPr>
      <w:b/>
      <w:bCs/>
      <w:lang w:eastAsia="en-US"/>
    </w:rPr>
  </w:style>
  <w:style w:type="character" w:styleId="FollowedHyperlink">
    <w:name w:val="FollowedHyperlink"/>
    <w:unhideWhenUsed/>
    <w:locked/>
    <w:rsid w:val="00913351"/>
    <w:rPr>
      <w:color w:val="800080"/>
      <w:u w:val="single"/>
    </w:rPr>
  </w:style>
  <w:style w:type="character" w:customStyle="1" w:styleId="NoSpacingChar">
    <w:name w:val="No Spacing Char"/>
    <w:link w:val="NoSpacing"/>
    <w:uiPriority w:val="1"/>
    <w:rsid w:val="00913351"/>
    <w:rPr>
      <w:rFonts w:ascii="Calibri" w:eastAsia="Times New Roman" w:hAnsi="Calibri"/>
    </w:rPr>
  </w:style>
  <w:style w:type="paragraph" w:styleId="DocumentMap">
    <w:name w:val="Document Map"/>
    <w:basedOn w:val="Normal"/>
    <w:link w:val="DocumentMapChar"/>
    <w:unhideWhenUsed/>
    <w:locked/>
    <w:rsid w:val="00913351"/>
    <w:pPr>
      <w:spacing w:before="200" w:after="200"/>
    </w:pPr>
    <w:rPr>
      <w:rFonts w:ascii="Tahoma" w:eastAsia="Times New Roman" w:hAnsi="Tahoma"/>
      <w:sz w:val="16"/>
      <w:szCs w:val="16"/>
    </w:rPr>
  </w:style>
  <w:style w:type="character" w:customStyle="1" w:styleId="DocumentMapChar">
    <w:name w:val="Document Map Char"/>
    <w:link w:val="DocumentMap"/>
    <w:rsid w:val="00913351"/>
    <w:rPr>
      <w:rFonts w:ascii="Tahoma" w:eastAsia="Times New Roman" w:hAnsi="Tahoma"/>
      <w:sz w:val="16"/>
      <w:szCs w:val="16"/>
    </w:rPr>
  </w:style>
  <w:style w:type="paragraph" w:styleId="Revision">
    <w:name w:val="Revision"/>
    <w:hidden/>
    <w:uiPriority w:val="99"/>
    <w:semiHidden/>
    <w:rsid w:val="00913351"/>
    <w:rPr>
      <w:rFonts w:ascii="Calibri" w:eastAsia="Times New Roman" w:hAnsi="Calibri"/>
      <w:sz w:val="24"/>
      <w:lang w:val="en-US" w:eastAsia="en-US" w:bidi="en-US"/>
    </w:rPr>
  </w:style>
  <w:style w:type="paragraph" w:customStyle="1" w:styleId="CM42">
    <w:name w:val="CM42"/>
    <w:basedOn w:val="Default"/>
    <w:next w:val="Default"/>
    <w:uiPriority w:val="99"/>
    <w:rsid w:val="00913351"/>
    <w:pPr>
      <w:spacing w:before="0"/>
    </w:pPr>
    <w:rPr>
      <w:rFonts w:ascii="LPEHM J+ Zurich BT" w:hAnsi="LPEHM J+ Zurich BT" w:cs="Times New Roman"/>
      <w:color w:val="auto"/>
    </w:rPr>
  </w:style>
  <w:style w:type="paragraph" w:customStyle="1" w:styleId="CM90">
    <w:name w:val="CM90"/>
    <w:basedOn w:val="Normal"/>
    <w:next w:val="Normal"/>
    <w:uiPriority w:val="99"/>
    <w:rsid w:val="00913351"/>
    <w:pPr>
      <w:autoSpaceDE w:val="0"/>
      <w:autoSpaceDN w:val="0"/>
      <w:adjustRightInd w:val="0"/>
      <w:spacing w:before="0" w:after="200"/>
    </w:pPr>
    <w:rPr>
      <w:rFonts w:ascii="LPEHM J+ Zurich BT" w:hAnsi="LPEHM J+ Zurich BT"/>
      <w:sz w:val="22"/>
      <w:szCs w:val="24"/>
      <w:lang w:bidi="en-US"/>
    </w:rPr>
  </w:style>
  <w:style w:type="paragraph" w:customStyle="1" w:styleId="CM1">
    <w:name w:val="CM1"/>
    <w:basedOn w:val="Default"/>
    <w:next w:val="Default"/>
    <w:uiPriority w:val="99"/>
    <w:rsid w:val="00913351"/>
    <w:pPr>
      <w:spacing w:before="0" w:after="0" w:line="300" w:lineRule="atLeast"/>
    </w:pPr>
    <w:rPr>
      <w:rFonts w:ascii="LPEHM J+ Zurich BT" w:eastAsia="Times New Roman" w:hAnsi="LPEHM J+ Zurich BT" w:cs="Times New Roman"/>
      <w:color w:val="auto"/>
    </w:rPr>
  </w:style>
  <w:style w:type="paragraph" w:customStyle="1" w:styleId="CM94">
    <w:name w:val="CM94"/>
    <w:basedOn w:val="Default"/>
    <w:next w:val="Default"/>
    <w:rsid w:val="00913351"/>
    <w:pPr>
      <w:spacing w:before="0" w:after="0" w:line="240" w:lineRule="auto"/>
    </w:pPr>
    <w:rPr>
      <w:rFonts w:ascii="LPEHM J+ Zurich BT" w:eastAsia="Times New Roman" w:hAnsi="LPEHM J+ Zurich BT" w:cs="Times New Roman"/>
      <w:color w:val="auto"/>
    </w:rPr>
  </w:style>
  <w:style w:type="paragraph" w:customStyle="1" w:styleId="CM103">
    <w:name w:val="CM103"/>
    <w:basedOn w:val="Default"/>
    <w:next w:val="Default"/>
    <w:rsid w:val="00913351"/>
    <w:pPr>
      <w:spacing w:before="0" w:after="0" w:line="240" w:lineRule="auto"/>
    </w:pPr>
    <w:rPr>
      <w:rFonts w:ascii="LPEHM J+ Zurich BT" w:eastAsia="Times New Roman" w:hAnsi="LPEHM J+ Zurich BT" w:cs="Times New Roman"/>
      <w:color w:val="auto"/>
    </w:rPr>
  </w:style>
  <w:style w:type="paragraph" w:customStyle="1" w:styleId="N1">
    <w:name w:val="N1"/>
    <w:basedOn w:val="Normal"/>
    <w:rsid w:val="00913351"/>
    <w:pPr>
      <w:numPr>
        <w:numId w:val="4"/>
      </w:numPr>
      <w:spacing w:before="160" w:after="200" w:line="220" w:lineRule="atLeast"/>
      <w:jc w:val="both"/>
    </w:pPr>
    <w:rPr>
      <w:rFonts w:ascii="Times New Roman" w:eastAsia="Times New Roman" w:hAnsi="Times New Roman"/>
      <w:sz w:val="21"/>
      <w:szCs w:val="20"/>
      <w:lang w:val="en-US" w:bidi="en-US"/>
    </w:rPr>
  </w:style>
  <w:style w:type="paragraph" w:customStyle="1" w:styleId="N2">
    <w:name w:val="N2"/>
    <w:basedOn w:val="N1"/>
    <w:rsid w:val="00913351"/>
    <w:pPr>
      <w:numPr>
        <w:ilvl w:val="1"/>
      </w:numPr>
      <w:spacing w:before="80"/>
    </w:pPr>
  </w:style>
  <w:style w:type="paragraph" w:customStyle="1" w:styleId="N3">
    <w:name w:val="N3"/>
    <w:basedOn w:val="N2"/>
    <w:rsid w:val="00913351"/>
    <w:pPr>
      <w:numPr>
        <w:ilvl w:val="2"/>
      </w:numPr>
    </w:pPr>
  </w:style>
  <w:style w:type="paragraph" w:customStyle="1" w:styleId="N4">
    <w:name w:val="N4"/>
    <w:basedOn w:val="N3"/>
    <w:rsid w:val="00913351"/>
    <w:pPr>
      <w:numPr>
        <w:ilvl w:val="3"/>
      </w:numPr>
    </w:pPr>
  </w:style>
  <w:style w:type="paragraph" w:customStyle="1" w:styleId="N5">
    <w:name w:val="N5"/>
    <w:basedOn w:val="N4"/>
    <w:rsid w:val="00913351"/>
    <w:pPr>
      <w:numPr>
        <w:ilvl w:val="4"/>
      </w:numPr>
    </w:pPr>
  </w:style>
  <w:style w:type="character" w:customStyle="1" w:styleId="st1">
    <w:name w:val="st1"/>
    <w:basedOn w:val="DefaultParagraphFont"/>
    <w:rsid w:val="00913351"/>
  </w:style>
  <w:style w:type="character" w:customStyle="1" w:styleId="legds2">
    <w:name w:val="legds2"/>
    <w:rsid w:val="00913351"/>
    <w:rPr>
      <w:vanish w:val="0"/>
      <w:webHidden w:val="0"/>
      <w:specVanish w:val="0"/>
    </w:rPr>
  </w:style>
  <w:style w:type="character" w:customStyle="1" w:styleId="legterm">
    <w:name w:val="legterm"/>
    <w:basedOn w:val="DefaultParagraphFont"/>
    <w:rsid w:val="00913351"/>
  </w:style>
  <w:style w:type="paragraph" w:customStyle="1" w:styleId="intro">
    <w:name w:val="intro"/>
    <w:basedOn w:val="Normal"/>
    <w:rsid w:val="00913351"/>
    <w:pPr>
      <w:spacing w:before="100" w:beforeAutospacing="1" w:after="240" w:line="240" w:lineRule="auto"/>
    </w:pPr>
    <w:rPr>
      <w:rFonts w:ascii="Times New Roman" w:eastAsia="Times New Roman" w:hAnsi="Times New Roman"/>
      <w:szCs w:val="24"/>
      <w:lang w:eastAsia="en-GB"/>
    </w:rPr>
  </w:style>
  <w:style w:type="character" w:customStyle="1" w:styleId="apple-converted-space">
    <w:name w:val="apple-converted-space"/>
    <w:basedOn w:val="DefaultParagraphFont"/>
    <w:rsid w:val="00913351"/>
  </w:style>
  <w:style w:type="paragraph" w:styleId="EndnoteText">
    <w:name w:val="endnote text"/>
    <w:basedOn w:val="Normal"/>
    <w:link w:val="EndnoteTextChar"/>
    <w:unhideWhenUsed/>
    <w:locked/>
    <w:rsid w:val="00913351"/>
    <w:pPr>
      <w:spacing w:before="120" w:after="240"/>
    </w:pPr>
    <w:rPr>
      <w:sz w:val="20"/>
      <w:szCs w:val="20"/>
    </w:rPr>
  </w:style>
  <w:style w:type="character" w:customStyle="1" w:styleId="EndnoteTextChar">
    <w:name w:val="Endnote Text Char"/>
    <w:link w:val="EndnoteText"/>
    <w:rsid w:val="00913351"/>
    <w:rPr>
      <w:lang w:eastAsia="en-US"/>
    </w:rPr>
  </w:style>
  <w:style w:type="character" w:styleId="EndnoteReference">
    <w:name w:val="endnote reference"/>
    <w:unhideWhenUsed/>
    <w:locked/>
    <w:rsid w:val="00913351"/>
    <w:rPr>
      <w:vertAlign w:val="superscript"/>
    </w:rPr>
  </w:style>
  <w:style w:type="character" w:customStyle="1" w:styleId="A13">
    <w:name w:val="A13"/>
    <w:uiPriority w:val="99"/>
    <w:rsid w:val="00913351"/>
    <w:rPr>
      <w:rFonts w:cs="OVGLDE+MyriadPro-Light"/>
      <w:color w:val="000000"/>
      <w:sz w:val="16"/>
      <w:szCs w:val="16"/>
    </w:rPr>
  </w:style>
  <w:style w:type="numbering" w:styleId="111111">
    <w:name w:val="Outline List 2"/>
    <w:basedOn w:val="NoList"/>
    <w:locked/>
    <w:rsid w:val="00913351"/>
    <w:pPr>
      <w:numPr>
        <w:numId w:val="20"/>
      </w:numPr>
    </w:pPr>
  </w:style>
  <w:style w:type="paragraph" w:customStyle="1" w:styleId="CM38">
    <w:name w:val="CM38"/>
    <w:basedOn w:val="Default"/>
    <w:next w:val="Default"/>
    <w:uiPriority w:val="99"/>
    <w:rsid w:val="00913351"/>
    <w:pPr>
      <w:spacing w:after="0" w:line="300" w:lineRule="atLeast"/>
    </w:pPr>
    <w:rPr>
      <w:rFonts w:ascii="LPEHM J+ Zurich BT" w:hAnsi="LPEHM J+ Zurich BT" w:cs="Times New Roman"/>
      <w:color w:val="auto"/>
      <w:lang w:eastAsia="en-GB"/>
    </w:rPr>
  </w:style>
  <w:style w:type="paragraph" w:customStyle="1" w:styleId="CM18">
    <w:name w:val="CM18"/>
    <w:basedOn w:val="Default"/>
    <w:next w:val="Default"/>
    <w:uiPriority w:val="99"/>
    <w:rsid w:val="00913351"/>
    <w:pPr>
      <w:spacing w:after="0" w:line="298" w:lineRule="atLeast"/>
    </w:pPr>
    <w:rPr>
      <w:rFonts w:ascii="LPEHM J+ Zurich BT" w:hAnsi="LPEHM J+ Zurich BT" w:cs="Times New Roman"/>
      <w:color w:val="auto"/>
      <w:lang w:eastAsia="en-GB"/>
    </w:rPr>
  </w:style>
  <w:style w:type="paragraph" w:customStyle="1" w:styleId="Pa8">
    <w:name w:val="Pa8"/>
    <w:basedOn w:val="Default"/>
    <w:next w:val="Default"/>
    <w:uiPriority w:val="99"/>
    <w:rsid w:val="00913351"/>
    <w:pPr>
      <w:spacing w:before="0" w:after="0" w:line="191" w:lineRule="atLeast"/>
    </w:pPr>
    <w:rPr>
      <w:rFonts w:ascii="Ubuntu Light" w:eastAsia="Times New Roman" w:hAnsi="Ubuntu Light" w:cs="Times New Roman"/>
      <w:color w:val="auto"/>
      <w:lang w:eastAsia="en-GB"/>
    </w:rPr>
  </w:style>
  <w:style w:type="character" w:customStyle="1" w:styleId="A17">
    <w:name w:val="A17"/>
    <w:uiPriority w:val="99"/>
    <w:rsid w:val="00913351"/>
    <w:rPr>
      <w:rFonts w:cs="Ubuntu Light"/>
      <w:color w:val="000000"/>
      <w:sz w:val="11"/>
      <w:szCs w:val="11"/>
    </w:rPr>
  </w:style>
  <w:style w:type="character" w:styleId="HTMLCite">
    <w:name w:val="HTML Cite"/>
    <w:uiPriority w:val="99"/>
    <w:semiHidden/>
    <w:unhideWhenUsed/>
    <w:locked/>
    <w:rsid w:val="00913351"/>
    <w:rPr>
      <w:i w:val="0"/>
      <w:iCs w:val="0"/>
      <w:color w:val="009933"/>
    </w:rPr>
  </w:style>
  <w:style w:type="table" w:customStyle="1" w:styleId="TableGrid1">
    <w:name w:val="Table Grid1"/>
    <w:basedOn w:val="TableNormal"/>
    <w:next w:val="TableGrid"/>
    <w:uiPriority w:val="59"/>
    <w:rsid w:val="00EB184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4615">
      <w:bodyDiv w:val="1"/>
      <w:marLeft w:val="0"/>
      <w:marRight w:val="0"/>
      <w:marTop w:val="0"/>
      <w:marBottom w:val="0"/>
      <w:divBdr>
        <w:top w:val="none" w:sz="0" w:space="0" w:color="auto"/>
        <w:left w:val="none" w:sz="0" w:space="0" w:color="auto"/>
        <w:bottom w:val="none" w:sz="0" w:space="0" w:color="auto"/>
        <w:right w:val="none" w:sz="0" w:space="0" w:color="auto"/>
      </w:divBdr>
    </w:div>
    <w:div w:id="308752016">
      <w:bodyDiv w:val="1"/>
      <w:marLeft w:val="0"/>
      <w:marRight w:val="0"/>
      <w:marTop w:val="0"/>
      <w:marBottom w:val="0"/>
      <w:divBdr>
        <w:top w:val="none" w:sz="0" w:space="0" w:color="auto"/>
        <w:left w:val="none" w:sz="0" w:space="0" w:color="auto"/>
        <w:bottom w:val="none" w:sz="0" w:space="0" w:color="auto"/>
        <w:right w:val="none" w:sz="0" w:space="0" w:color="auto"/>
      </w:divBdr>
    </w:div>
    <w:div w:id="371883937">
      <w:bodyDiv w:val="1"/>
      <w:marLeft w:val="0"/>
      <w:marRight w:val="0"/>
      <w:marTop w:val="0"/>
      <w:marBottom w:val="0"/>
      <w:divBdr>
        <w:top w:val="none" w:sz="0" w:space="0" w:color="auto"/>
        <w:left w:val="none" w:sz="0" w:space="0" w:color="auto"/>
        <w:bottom w:val="none" w:sz="0" w:space="0" w:color="auto"/>
        <w:right w:val="none" w:sz="0" w:space="0" w:color="auto"/>
      </w:divBdr>
    </w:div>
    <w:div w:id="482939205">
      <w:bodyDiv w:val="1"/>
      <w:marLeft w:val="0"/>
      <w:marRight w:val="0"/>
      <w:marTop w:val="0"/>
      <w:marBottom w:val="0"/>
      <w:divBdr>
        <w:top w:val="none" w:sz="0" w:space="0" w:color="auto"/>
        <w:left w:val="none" w:sz="0" w:space="0" w:color="auto"/>
        <w:bottom w:val="none" w:sz="0" w:space="0" w:color="auto"/>
        <w:right w:val="none" w:sz="0" w:space="0" w:color="auto"/>
      </w:divBdr>
    </w:div>
    <w:div w:id="483667067">
      <w:bodyDiv w:val="1"/>
      <w:marLeft w:val="0"/>
      <w:marRight w:val="0"/>
      <w:marTop w:val="0"/>
      <w:marBottom w:val="0"/>
      <w:divBdr>
        <w:top w:val="none" w:sz="0" w:space="0" w:color="auto"/>
        <w:left w:val="none" w:sz="0" w:space="0" w:color="auto"/>
        <w:bottom w:val="none" w:sz="0" w:space="0" w:color="auto"/>
        <w:right w:val="none" w:sz="0" w:space="0" w:color="auto"/>
      </w:divBdr>
    </w:div>
    <w:div w:id="506099292">
      <w:bodyDiv w:val="1"/>
      <w:marLeft w:val="0"/>
      <w:marRight w:val="0"/>
      <w:marTop w:val="0"/>
      <w:marBottom w:val="0"/>
      <w:divBdr>
        <w:top w:val="none" w:sz="0" w:space="0" w:color="auto"/>
        <w:left w:val="none" w:sz="0" w:space="0" w:color="auto"/>
        <w:bottom w:val="none" w:sz="0" w:space="0" w:color="auto"/>
        <w:right w:val="none" w:sz="0" w:space="0" w:color="auto"/>
      </w:divBdr>
    </w:div>
    <w:div w:id="617107925">
      <w:bodyDiv w:val="1"/>
      <w:marLeft w:val="0"/>
      <w:marRight w:val="0"/>
      <w:marTop w:val="0"/>
      <w:marBottom w:val="0"/>
      <w:divBdr>
        <w:top w:val="none" w:sz="0" w:space="0" w:color="auto"/>
        <w:left w:val="none" w:sz="0" w:space="0" w:color="auto"/>
        <w:bottom w:val="none" w:sz="0" w:space="0" w:color="auto"/>
        <w:right w:val="none" w:sz="0" w:space="0" w:color="auto"/>
      </w:divBdr>
    </w:div>
    <w:div w:id="639381641">
      <w:bodyDiv w:val="1"/>
      <w:marLeft w:val="0"/>
      <w:marRight w:val="0"/>
      <w:marTop w:val="0"/>
      <w:marBottom w:val="0"/>
      <w:divBdr>
        <w:top w:val="none" w:sz="0" w:space="0" w:color="auto"/>
        <w:left w:val="none" w:sz="0" w:space="0" w:color="auto"/>
        <w:bottom w:val="none" w:sz="0" w:space="0" w:color="auto"/>
        <w:right w:val="none" w:sz="0" w:space="0" w:color="auto"/>
      </w:divBdr>
    </w:div>
    <w:div w:id="682515433">
      <w:bodyDiv w:val="1"/>
      <w:marLeft w:val="0"/>
      <w:marRight w:val="0"/>
      <w:marTop w:val="0"/>
      <w:marBottom w:val="0"/>
      <w:divBdr>
        <w:top w:val="none" w:sz="0" w:space="0" w:color="auto"/>
        <w:left w:val="none" w:sz="0" w:space="0" w:color="auto"/>
        <w:bottom w:val="none" w:sz="0" w:space="0" w:color="auto"/>
        <w:right w:val="none" w:sz="0" w:space="0" w:color="auto"/>
      </w:divBdr>
    </w:div>
    <w:div w:id="684284208">
      <w:bodyDiv w:val="1"/>
      <w:marLeft w:val="0"/>
      <w:marRight w:val="0"/>
      <w:marTop w:val="0"/>
      <w:marBottom w:val="0"/>
      <w:divBdr>
        <w:top w:val="none" w:sz="0" w:space="0" w:color="auto"/>
        <w:left w:val="none" w:sz="0" w:space="0" w:color="auto"/>
        <w:bottom w:val="none" w:sz="0" w:space="0" w:color="auto"/>
        <w:right w:val="none" w:sz="0" w:space="0" w:color="auto"/>
      </w:divBdr>
    </w:div>
    <w:div w:id="695931625">
      <w:bodyDiv w:val="1"/>
      <w:marLeft w:val="0"/>
      <w:marRight w:val="0"/>
      <w:marTop w:val="0"/>
      <w:marBottom w:val="0"/>
      <w:divBdr>
        <w:top w:val="none" w:sz="0" w:space="0" w:color="auto"/>
        <w:left w:val="none" w:sz="0" w:space="0" w:color="auto"/>
        <w:bottom w:val="none" w:sz="0" w:space="0" w:color="auto"/>
        <w:right w:val="none" w:sz="0" w:space="0" w:color="auto"/>
      </w:divBdr>
    </w:div>
    <w:div w:id="831798100">
      <w:bodyDiv w:val="1"/>
      <w:marLeft w:val="0"/>
      <w:marRight w:val="0"/>
      <w:marTop w:val="0"/>
      <w:marBottom w:val="0"/>
      <w:divBdr>
        <w:top w:val="none" w:sz="0" w:space="0" w:color="auto"/>
        <w:left w:val="none" w:sz="0" w:space="0" w:color="auto"/>
        <w:bottom w:val="none" w:sz="0" w:space="0" w:color="auto"/>
        <w:right w:val="none" w:sz="0" w:space="0" w:color="auto"/>
      </w:divBdr>
    </w:div>
    <w:div w:id="843471468">
      <w:bodyDiv w:val="1"/>
      <w:marLeft w:val="0"/>
      <w:marRight w:val="0"/>
      <w:marTop w:val="0"/>
      <w:marBottom w:val="0"/>
      <w:divBdr>
        <w:top w:val="none" w:sz="0" w:space="0" w:color="auto"/>
        <w:left w:val="none" w:sz="0" w:space="0" w:color="auto"/>
        <w:bottom w:val="none" w:sz="0" w:space="0" w:color="auto"/>
        <w:right w:val="none" w:sz="0" w:space="0" w:color="auto"/>
      </w:divBdr>
    </w:div>
    <w:div w:id="925070524">
      <w:bodyDiv w:val="1"/>
      <w:marLeft w:val="0"/>
      <w:marRight w:val="0"/>
      <w:marTop w:val="0"/>
      <w:marBottom w:val="0"/>
      <w:divBdr>
        <w:top w:val="none" w:sz="0" w:space="0" w:color="auto"/>
        <w:left w:val="none" w:sz="0" w:space="0" w:color="auto"/>
        <w:bottom w:val="none" w:sz="0" w:space="0" w:color="auto"/>
        <w:right w:val="none" w:sz="0" w:space="0" w:color="auto"/>
      </w:divBdr>
    </w:div>
    <w:div w:id="1520116910">
      <w:bodyDiv w:val="1"/>
      <w:marLeft w:val="0"/>
      <w:marRight w:val="0"/>
      <w:marTop w:val="0"/>
      <w:marBottom w:val="0"/>
      <w:divBdr>
        <w:top w:val="none" w:sz="0" w:space="0" w:color="auto"/>
        <w:left w:val="none" w:sz="0" w:space="0" w:color="auto"/>
        <w:bottom w:val="none" w:sz="0" w:space="0" w:color="auto"/>
        <w:right w:val="none" w:sz="0" w:space="0" w:color="auto"/>
      </w:divBdr>
    </w:div>
    <w:div w:id="1659192942">
      <w:bodyDiv w:val="1"/>
      <w:marLeft w:val="0"/>
      <w:marRight w:val="0"/>
      <w:marTop w:val="0"/>
      <w:marBottom w:val="0"/>
      <w:divBdr>
        <w:top w:val="none" w:sz="0" w:space="0" w:color="auto"/>
        <w:left w:val="none" w:sz="0" w:space="0" w:color="auto"/>
        <w:bottom w:val="none" w:sz="0" w:space="0" w:color="auto"/>
        <w:right w:val="none" w:sz="0" w:space="0" w:color="auto"/>
      </w:divBdr>
    </w:div>
    <w:div w:id="1889876201">
      <w:bodyDiv w:val="1"/>
      <w:marLeft w:val="0"/>
      <w:marRight w:val="0"/>
      <w:marTop w:val="0"/>
      <w:marBottom w:val="0"/>
      <w:divBdr>
        <w:top w:val="none" w:sz="0" w:space="0" w:color="auto"/>
        <w:left w:val="none" w:sz="0" w:space="0" w:color="auto"/>
        <w:bottom w:val="none" w:sz="0" w:space="0" w:color="auto"/>
        <w:right w:val="none" w:sz="0" w:space="0" w:color="auto"/>
      </w:divBdr>
    </w:div>
    <w:div w:id="190953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ema.net/ems/emas" TargetMode="External"/><Relationship Id="rId21" Type="http://schemas.openxmlformats.org/officeDocument/2006/relationships/hyperlink" Target="http://www.defra.gov.uk/naturalcapitalcommittee/" TargetMode="External"/><Relationship Id="rId42" Type="http://schemas.openxmlformats.org/officeDocument/2006/relationships/hyperlink" Target="http://www.iso.org/iso/catalogue_detail?csnumber=38381" TargetMode="External"/><Relationship Id="rId47" Type="http://schemas.openxmlformats.org/officeDocument/2006/relationships/hyperlink" Target="http://unfccc.int/national_reports/annex_i_ghg_inventories/items/4624.php" TargetMode="External"/><Relationship Id="rId63" Type="http://schemas.openxmlformats.org/officeDocument/2006/relationships/hyperlink" Target="http://www.zerowastescotland.org.uk/" TargetMode="External"/><Relationship Id="rId68" Type="http://schemas.openxmlformats.org/officeDocument/2006/relationships/hyperlink" Target="http://www.environment-agency.gov.uk/cy/busnes/pynciau/llygredd/36750.aspx" TargetMode="External"/><Relationship Id="rId84" Type="http://schemas.openxmlformats.org/officeDocument/2006/relationships/hyperlink" Target="https://www.globalreporting.org/resourcelibrary/G3.1-Environment-Indicator-Protocols.pdf" TargetMode="External"/><Relationship Id="rId89" Type="http://schemas.openxmlformats.org/officeDocument/2006/relationships/hyperlink" Target="https://www.gov.uk/government/uploads/system/uploads/attachment_data/file/69403/pb13530-waste-hierarchy-guidance.pdf" TargetMode="External"/><Relationship Id="rId112" Type="http://schemas.openxmlformats.org/officeDocument/2006/relationships/hyperlink" Target="http://bbop.forest-trends.org/" TargetMode="External"/><Relationship Id="rId16" Type="http://schemas.openxmlformats.org/officeDocument/2006/relationships/hyperlink" Target="mailto:defra.helpline@defra.gsi.gov.uk" TargetMode="External"/><Relationship Id="rId107" Type="http://schemas.openxmlformats.org/officeDocument/2006/relationships/hyperlink" Target="http://www.opsi.gov.uk/si/si2010/pdf/uksi_20100675_en.pdf" TargetMode="External"/><Relationship Id="rId11" Type="http://schemas.openxmlformats.org/officeDocument/2006/relationships/footnotes" Target="footnotes.xml"/><Relationship Id="rId24" Type="http://schemas.openxmlformats.org/officeDocument/2006/relationships/hyperlink" Target="http://www.cdsb.net/" TargetMode="External"/><Relationship Id="rId32" Type="http://schemas.openxmlformats.org/officeDocument/2006/relationships/hyperlink" Target="https://www.cdproject.net/CDPResults/insights-into-climate-change-adaptation-by-uk-companies.pdf" TargetMode="External"/><Relationship Id="rId37" Type="http://schemas.openxmlformats.org/officeDocument/2006/relationships/hyperlink" Target="http://www.iso.org/iso/catalogue_detail?csnumber=38381" TargetMode="External"/><Relationship Id="rId40" Type="http://schemas.openxmlformats.org/officeDocument/2006/relationships/hyperlink" Target="http://www,ghgprotocol.org/" TargetMode="External"/><Relationship Id="rId45" Type="http://schemas.openxmlformats.org/officeDocument/2006/relationships/hyperlink" Target="http://www.ghgprotocol.org/standards/scope-3-standard" TargetMode="External"/><Relationship Id="rId53" Type="http://schemas.openxmlformats.org/officeDocument/2006/relationships/package" Target="embeddings/Microsoft_PowerPoint_Slide1.sldx"/><Relationship Id="rId58" Type="http://schemas.openxmlformats.org/officeDocument/2006/relationships/hyperlink" Target="http://www.ghgprotocol.org/feature/ghg-protocol-power-accounting-guidelines" TargetMode="External"/><Relationship Id="rId66" Type="http://schemas.openxmlformats.org/officeDocument/2006/relationships/hyperlink" Target="http://www.bis.gov.uk/files/file46535.pdf" TargetMode="External"/><Relationship Id="rId74" Type="http://schemas.openxmlformats.org/officeDocument/2006/relationships/hyperlink" Target="http://www.epa.gov/stateply/documents/resources/mfgrfg.pdf" TargetMode="External"/><Relationship Id="rId79" Type="http://schemas.openxmlformats.org/officeDocument/2006/relationships/hyperlink" Target="https://www.gov.uk/government/publications/fuel-mix-disclosure-data-table" TargetMode="External"/><Relationship Id="rId87" Type="http://schemas.openxmlformats.org/officeDocument/2006/relationships/hyperlink" Target="http://www.ceres.org/issues/water/aqua-gauge/downloads/aqua-gauge-executive-summary" TargetMode="External"/><Relationship Id="rId102" Type="http://schemas.openxmlformats.org/officeDocument/2006/relationships/hyperlink" Target="http://prtr.defra.gov.uk/" TargetMode="External"/><Relationship Id="rId110" Type="http://schemas.openxmlformats.org/officeDocument/2006/relationships/hyperlink" Target="http://uk-air.defra.gov.uk/" TargetMode="External"/><Relationship Id="rId115"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envirowise.wrap.org.uk/uk/Topics-and-Issues/Eco-Design.html" TargetMode="External"/><Relationship Id="rId82" Type="http://schemas.openxmlformats.org/officeDocument/2006/relationships/hyperlink" Target="http://www.wrap.org.uk/" TargetMode="External"/><Relationship Id="rId90" Type="http://schemas.openxmlformats.org/officeDocument/2006/relationships/diagramData" Target="diagrams/data1.xml"/><Relationship Id="rId95" Type="http://schemas.openxmlformats.org/officeDocument/2006/relationships/hyperlink" Target="http://www.environment-agency.gov.uk/business/topics/waste/32206.aspx" TargetMode="External"/><Relationship Id="rId19" Type="http://schemas.openxmlformats.org/officeDocument/2006/relationships/header" Target="header2.xml"/><Relationship Id="rId14" Type="http://schemas.openxmlformats.org/officeDocument/2006/relationships/hyperlink" Target="http://www.nationalarchives.gov.uk/doc/open-government-licence/" TargetMode="External"/><Relationship Id="rId22" Type="http://schemas.openxmlformats.org/officeDocument/2006/relationships/hyperlink" Target="http://www.environment-agency.gov.uk/environmentalfinance" TargetMode="External"/><Relationship Id="rId27" Type="http://schemas.openxmlformats.org/officeDocument/2006/relationships/hyperlink" Target="http://www.iema.net/ems/acorn_scheme" TargetMode="External"/><Relationship Id="rId30" Type="http://schemas.openxmlformats.org/officeDocument/2006/relationships/hyperlink" Target="http://www.iso.org/iso/home/store/catalogue_tc/catalogue_detail.htm?csnumber=38700&amp;commid=54808" TargetMode="External"/><Relationship Id="rId35" Type="http://schemas.openxmlformats.org/officeDocument/2006/relationships/hyperlink" Target="http://www.iso.org/iso/catalogue_detail?csnumber=38381" TargetMode="External"/><Relationship Id="rId43" Type="http://schemas.openxmlformats.org/officeDocument/2006/relationships/hyperlink" Target="http://www.cdproject.net/" TargetMode="External"/><Relationship Id="rId48" Type="http://schemas.openxmlformats.org/officeDocument/2006/relationships/hyperlink" Target="https://www.gov.uk/measuring-and-reporting-environmental-impacts-guidance-for-businesses" TargetMode="External"/><Relationship Id="rId56" Type="http://schemas.openxmlformats.org/officeDocument/2006/relationships/hyperlink" Target="http://www.ipcc-nggip.iges.or.jp/public/2006gl/" TargetMode="External"/><Relationship Id="rId64" Type="http://schemas.openxmlformats.org/officeDocument/2006/relationships/hyperlink" Target="http://www.rethinkwasteni.org/" TargetMode="External"/><Relationship Id="rId69" Type="http://schemas.openxmlformats.org/officeDocument/2006/relationships/hyperlink" Target="http://www.cefas.defra.gov.uk/industry-information/offshore-chemical-notification-scheme.aspx" TargetMode="External"/><Relationship Id="rId77" Type="http://schemas.openxmlformats.org/officeDocument/2006/relationships/hyperlink" Target="mailto:Enviro.Statistics@defra.gsi.gov.uk" TargetMode="External"/><Relationship Id="rId100" Type="http://schemas.openxmlformats.org/officeDocument/2006/relationships/hyperlink" Target="http://www.forestry.gov.uk/pdf/FCPH001.pdf/$FILE/FCPH001.pdf" TargetMode="External"/><Relationship Id="rId105" Type="http://schemas.openxmlformats.org/officeDocument/2006/relationships/hyperlink" Target="http://www.ospar.org/documents/DBASE/DECRECS/Agreements/02-06e_Common%20interpretation.doc" TargetMode="External"/><Relationship Id="rId113" Type="http://schemas.openxmlformats.org/officeDocument/2006/relationships/footer" Target="footer4.xml"/><Relationship Id="rId8" Type="http://schemas.microsoft.com/office/2007/relationships/stylesWithEffects" Target="stylesWithEffects.xml"/><Relationship Id="rId51" Type="http://schemas.openxmlformats.org/officeDocument/2006/relationships/hyperlink" Target="http://www.ghgprotocol.org/files/ghgp/tools/Appendix_F_Leased_Assets.pdf" TargetMode="External"/><Relationship Id="rId72" Type="http://schemas.openxmlformats.org/officeDocument/2006/relationships/footer" Target="footer2.xml"/><Relationship Id="rId80" Type="http://schemas.openxmlformats.org/officeDocument/2006/relationships/hyperlink" Target="http://cdm.unfccc.int/Projects/XX/XX/view" TargetMode="External"/><Relationship Id="rId85" Type="http://schemas.openxmlformats.org/officeDocument/2006/relationships/hyperlink" Target="http://www.wbcsd.org/web/watertool.htm" TargetMode="External"/><Relationship Id="rId93" Type="http://schemas.openxmlformats.org/officeDocument/2006/relationships/diagramColors" Target="diagrams/colors1.xml"/><Relationship Id="rId98" Type="http://schemas.openxmlformats.org/officeDocument/2006/relationships/hyperlink" Target="http://marinemanagement.org.uk/licensing/documents/guidance/08.pdf"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http://www.iema.net/ems/iso14001" TargetMode="External"/><Relationship Id="rId33" Type="http://schemas.openxmlformats.org/officeDocument/2006/relationships/hyperlink" Target="http://www.ghgprotocol.org/standards/corporate-standard" TargetMode="External"/><Relationship Id="rId38" Type="http://schemas.openxmlformats.org/officeDocument/2006/relationships/hyperlink" Target="http://www.cdsb.net/climate-change-reporting-framework/" TargetMode="External"/><Relationship Id="rId46" Type="http://schemas.openxmlformats.org/officeDocument/2006/relationships/hyperlink" Target="http://www.ukconversionfactorscarbonsmart.co.uk/" TargetMode="External"/><Relationship Id="rId59" Type="http://schemas.openxmlformats.org/officeDocument/2006/relationships/hyperlink" Target="https://www.gov.uk/government/publications/fuel-mix-disclosure-data-table" TargetMode="External"/><Relationship Id="rId67" Type="http://schemas.openxmlformats.org/officeDocument/2006/relationships/hyperlink" Target="http://www.cpet.org.uk/" TargetMode="External"/><Relationship Id="rId103" Type="http://schemas.openxmlformats.org/officeDocument/2006/relationships/hyperlink" Target="http://www.environment-agency.gov.uk/static/documents/Business/eprtr_guidance_doc_1426519.pdf" TargetMode="External"/><Relationship Id="rId108" Type="http://schemas.openxmlformats.org/officeDocument/2006/relationships/hyperlink" Target="https://www.gov.uk/government/policies/protecting-and-enhancing-our-urban-and-natural-environment-to-improve-public-health-and-wellbeing/supporting-pages/international-european-and-national-standards-for-air-quality" TargetMode="External"/><Relationship Id="rId20" Type="http://schemas.openxmlformats.org/officeDocument/2006/relationships/hyperlink" Target="http://randd.defra.gov.uk/Default.aspx?Menu=Menu&amp;Module=More&amp;Location=None&amp;ProjectID=16942&amp;FromSearch=Y&amp;Publisher=1&amp;SearchText=EV0440&amp;SortString=ProjectCode&amp;SortOrder=Asc&amp;Paging=10" TargetMode="External"/><Relationship Id="rId41" Type="http://schemas.openxmlformats.org/officeDocument/2006/relationships/hyperlink" Target="http://www.ghgprotocol.org/standards/corporate-standard" TargetMode="External"/><Relationship Id="rId54" Type="http://schemas.openxmlformats.org/officeDocument/2006/relationships/hyperlink" Target="https://www.gov.uk/measuring-and-reporting-environmental-impacts-guidance-for-businesses" TargetMode="External"/><Relationship Id="rId62" Type="http://schemas.openxmlformats.org/officeDocument/2006/relationships/hyperlink" Target="http://www.wrap.org.uk/business/index.html" TargetMode="External"/><Relationship Id="rId70" Type="http://schemas.openxmlformats.org/officeDocument/2006/relationships/hyperlink" Target="http://www.cdsb.net/" TargetMode="External"/><Relationship Id="rId75" Type="http://schemas.openxmlformats.org/officeDocument/2006/relationships/hyperlink" Target="https://www.gov.uk/measuring-and-reporting-environmental-impacts-guidance-for-businesses" TargetMode="External"/><Relationship Id="rId83" Type="http://schemas.openxmlformats.org/officeDocument/2006/relationships/hyperlink" Target="https://www.cdproject.net/water" TargetMode="External"/><Relationship Id="rId88" Type="http://schemas.openxmlformats.org/officeDocument/2006/relationships/hyperlink" Target="https://www.gov.uk/government/uploads/system/uploads/attachment_data/file/69590/pb13813-waste-legal-def-guide.pdf" TargetMode="External"/><Relationship Id="rId91" Type="http://schemas.openxmlformats.org/officeDocument/2006/relationships/diagramLayout" Target="diagrams/layout1.xml"/><Relationship Id="rId96" Type="http://schemas.openxmlformats.org/officeDocument/2006/relationships/hyperlink" Target="http://www.environment-agency.gov.uk/business/topics/waste/32180.aspx" TargetMode="External"/><Relationship Id="rId111" Type="http://schemas.openxmlformats.org/officeDocument/2006/relationships/hyperlink" Target="http://naei.defra.gov.uk/index.ph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si@nationalarchives.gsi.gov.uk" TargetMode="External"/><Relationship Id="rId23" Type="http://schemas.openxmlformats.org/officeDocument/2006/relationships/hyperlink" Target="http://www.theiirc.org/" TargetMode="External"/><Relationship Id="rId28" Type="http://schemas.openxmlformats.org/officeDocument/2006/relationships/hyperlink" Target="http://www.uneptie.org" TargetMode="External"/><Relationship Id="rId36" Type="http://schemas.openxmlformats.org/officeDocument/2006/relationships/hyperlink" Target="http://www.ghgprotocol.org/standards/corporate-standard" TargetMode="External"/><Relationship Id="rId49" Type="http://schemas.openxmlformats.org/officeDocument/2006/relationships/hyperlink" Target="http://www.ghgprotocol.org/standards/corporate-standard" TargetMode="External"/><Relationship Id="rId57" Type="http://schemas.openxmlformats.org/officeDocument/2006/relationships/hyperlink" Target="http://www.ghgprotocol.org/feature/ghg-protocol-power-accounting-guidelines" TargetMode="External"/><Relationship Id="rId106" Type="http://schemas.openxmlformats.org/officeDocument/2006/relationships/hyperlink" Target="http://www.cefas.defra.gov.uk/industry-information/offshore-chemical-notification-scheme.aspx" TargetMode="External"/><Relationship Id="rId114"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hyperlink" Target="https://www.cdp.net/Documents/Verification-of-Climate-Data.pdf" TargetMode="External"/><Relationship Id="rId44" Type="http://schemas.openxmlformats.org/officeDocument/2006/relationships/hyperlink" Target="http://www.cdsb.net/climate-change-reporting-framework/" TargetMode="External"/><Relationship Id="rId52" Type="http://schemas.openxmlformats.org/officeDocument/2006/relationships/image" Target="media/image2.emf"/><Relationship Id="rId60" Type="http://schemas.openxmlformats.org/officeDocument/2006/relationships/hyperlink" Target="http://www.wrap.org.uk/" TargetMode="External"/><Relationship Id="rId65" Type="http://schemas.openxmlformats.org/officeDocument/2006/relationships/hyperlink" Target="http://www.ipieca.org/focus-area/reporting" TargetMode="External"/><Relationship Id="rId73" Type="http://schemas.openxmlformats.org/officeDocument/2006/relationships/hyperlink" Target="http://www.ipcc-nggip.iges.or.jp/public/2006gl/" TargetMode="External"/><Relationship Id="rId78" Type="http://schemas.openxmlformats.org/officeDocument/2006/relationships/footer" Target="footer3.xml"/><Relationship Id="rId81" Type="http://schemas.openxmlformats.org/officeDocument/2006/relationships/hyperlink" Target="http://www.forestry.gov.uk/forestry/infd-863h7a" TargetMode="External"/><Relationship Id="rId86" Type="http://schemas.openxmlformats.org/officeDocument/2006/relationships/hyperlink" Target="http://www.gemi.org/water/overview.htm" TargetMode="External"/><Relationship Id="rId94" Type="http://schemas.microsoft.com/office/2007/relationships/diagramDrawing" Target="diagrams/drawing1.xml"/><Relationship Id="rId99" Type="http://schemas.openxmlformats.org/officeDocument/2006/relationships/hyperlink" Target="http://www.forestry.gov.uk/ukfs" TargetMode="External"/><Relationship Id="rId101" Type="http://schemas.openxmlformats.org/officeDocument/2006/relationships/hyperlink" Target="http://www.defra.gov.uk/environment/quality/industrial/eu-international/industrial-emissions-directive/"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oter" Target="footer1.xml"/><Relationship Id="rId39" Type="http://schemas.openxmlformats.org/officeDocument/2006/relationships/hyperlink" Target="https://www.globalreporting.org/Pages/default.aspx" TargetMode="External"/><Relationship Id="rId109" Type="http://schemas.openxmlformats.org/officeDocument/2006/relationships/hyperlink" Target="http://www.environment-agency.gov.uk/business/topics/permitting/32320.aspx" TargetMode="External"/><Relationship Id="rId34" Type="http://schemas.openxmlformats.org/officeDocument/2006/relationships/hyperlink" Target="http://www.iso.org/iso/catalogue_detail?csnumber=38381" TargetMode="External"/><Relationship Id="rId50" Type="http://schemas.openxmlformats.org/officeDocument/2006/relationships/hyperlink" Target="http://www.iso.org/iso/catalogue_detail?csnumber=38381" TargetMode="External"/><Relationship Id="rId55" Type="http://schemas.openxmlformats.org/officeDocument/2006/relationships/hyperlink" Target="http://www.ghgprotocol.org/calculation-tools" TargetMode="External"/><Relationship Id="rId76" Type="http://schemas.openxmlformats.org/officeDocument/2006/relationships/hyperlink" Target="http://www.ons.gov.uk/ons/guide-method/classifications/archived-standard-classifications/uk-standard-industrial-classification-1992--sic92-/index.html" TargetMode="External"/><Relationship Id="rId97" Type="http://schemas.openxmlformats.org/officeDocument/2006/relationships/hyperlink" Target="http://publications.environment-agency.gov.uk/pdf/GEHO0709BQGI-e-e.pdf" TargetMode="External"/><Relationship Id="rId104" Type="http://schemas.openxmlformats.org/officeDocument/2006/relationships/hyperlink" Target="http://www.ospar.org/documents/DBASE/DECRECS/Decisions/od00-02e.doc" TargetMode="External"/><Relationship Id="rId7" Type="http://schemas.openxmlformats.org/officeDocument/2006/relationships/styles" Target="styles.xml"/><Relationship Id="rId71" Type="http://schemas.openxmlformats.org/officeDocument/2006/relationships/hyperlink" Target="http://www.ghgprotocol.org/files/ghgp/tools/Appendix_F_Leased_Assets.pdf" TargetMode="External"/><Relationship Id="rId92" Type="http://schemas.openxmlformats.org/officeDocument/2006/relationships/diagramQuickStyle" Target="diagrams/quickStyle1.xml"/><Relationship Id="rId2" Type="http://schemas.openxmlformats.org/officeDocument/2006/relationships/customXml" Target="../customXml/item2.xml"/><Relationship Id="rId29" Type="http://schemas.openxmlformats.org/officeDocument/2006/relationships/hyperlink" Target="http://www.wbcsd.org/work-program/ecosystems/cev.aspx"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ghgprotocol.org/standards/scope-3-standard" TargetMode="External"/><Relationship Id="rId18" Type="http://schemas.openxmlformats.org/officeDocument/2006/relationships/hyperlink" Target="https://www.gov.uk/government/policies/protecting-and-enhancing-our-urban-and-natural-environment-to-improve-public-health-and-wellbeing" TargetMode="External"/><Relationship Id="rId26" Type="http://schemas.openxmlformats.org/officeDocument/2006/relationships/hyperlink" Target="http://www.wbcsd.org/work-program/ecosystems/cev.aspx%20" TargetMode="External"/><Relationship Id="rId39" Type="http://schemas.openxmlformats.org/officeDocument/2006/relationships/hyperlink" Target="http://www.environment-agency.gov.uk/research/planning/33362.aspx" TargetMode="External"/><Relationship Id="rId21" Type="http://schemas.openxmlformats.org/officeDocument/2006/relationships/hyperlink" Target="http://www.cefas.defra.gov.uk/industry-information/offshore-chemical-notification-scheme.aspx" TargetMode="External"/><Relationship Id="rId34" Type="http://schemas.openxmlformats.org/officeDocument/2006/relationships/hyperlink" Target="http://publications.naturalengland.org.uk/publication/50008" TargetMode="External"/><Relationship Id="rId42" Type="http://schemas.openxmlformats.org/officeDocument/2006/relationships/hyperlink" Target="https://www.cdproject.net/water" TargetMode="External"/><Relationship Id="rId47" Type="http://schemas.openxmlformats.org/officeDocument/2006/relationships/hyperlink" Target="http://www.ewp.eu/" TargetMode="External"/><Relationship Id="rId50" Type="http://schemas.openxmlformats.org/officeDocument/2006/relationships/hyperlink" Target="http://www.waterfootprint.org/?page=files/home" TargetMode="External"/><Relationship Id="rId55" Type="http://schemas.openxmlformats.org/officeDocument/2006/relationships/hyperlink" Target="http://www.bgs.ac.uk/mineralsuk/sustainability" TargetMode="External"/><Relationship Id="rId7" Type="http://schemas.openxmlformats.org/officeDocument/2006/relationships/hyperlink" Target="http://www.ghgprotocol.org/standards/corporate-standard" TargetMode="External"/><Relationship Id="rId12" Type="http://schemas.openxmlformats.org/officeDocument/2006/relationships/hyperlink" Target="http://www.bis.gov.uk/assets/nmo/docs/nms/ird-programme-document-public-release-april-2012.pdf" TargetMode="External"/><Relationship Id="rId17" Type="http://schemas.openxmlformats.org/officeDocument/2006/relationships/hyperlink" Target="http://www.cpet.org.uk/" TargetMode="External"/><Relationship Id="rId25" Type="http://schemas.openxmlformats.org/officeDocument/2006/relationships/hyperlink" Target="http://www.esindicators.org/indicator_details/1776" TargetMode="External"/><Relationship Id="rId33" Type="http://schemas.openxmlformats.org/officeDocument/2006/relationships/hyperlink" Target="http://www.business-biodiversity.eu/global/download/%7BEWONBFPFXE-10312011145629-QVBVDVTBVX%7D.pdf" TargetMode="External"/><Relationship Id="rId38" Type="http://schemas.openxmlformats.org/officeDocument/2006/relationships/hyperlink" Target="https://www.gov.uk/government/publications/fuel-mix-disclosure-data-table" TargetMode="External"/><Relationship Id="rId46" Type="http://schemas.openxmlformats.org/officeDocument/2006/relationships/hyperlink" Target="http://www.ceres.org/issues/water/aqua-gauge/downloads/aqua-gauge-executive-summary" TargetMode="External"/><Relationship Id="rId2" Type="http://schemas.openxmlformats.org/officeDocument/2006/relationships/hyperlink" Target="http://www.hm-treasury.gov.uk/d/psar_sustainability_reporting_guidance20112.pdf" TargetMode="External"/><Relationship Id="rId16" Type="http://schemas.openxmlformats.org/officeDocument/2006/relationships/hyperlink" Target="http://www.bis.gov.uk/files/file46535.pdf" TargetMode="External"/><Relationship Id="rId20" Type="http://schemas.openxmlformats.org/officeDocument/2006/relationships/hyperlink" Target="http://www.environment-agency.gov.uk/static/documents/Business/The_REPI_Metrics_and_Guidance.pdf" TargetMode="External"/><Relationship Id="rId29" Type="http://schemas.openxmlformats.org/officeDocument/2006/relationships/hyperlink" Target="http://ariesonline.org/%20" TargetMode="External"/><Relationship Id="rId41" Type="http://schemas.openxmlformats.org/officeDocument/2006/relationships/hyperlink" Target="https://www.cdproject.net/CDPResults/CDP-Water-Disclosure-Global-Report-2011.pdf" TargetMode="External"/><Relationship Id="rId54" Type="http://schemas.openxmlformats.org/officeDocument/2006/relationships/hyperlink" Target="https://www.globalreporting.org/resourcelibrary/OGSS-G3.1-Complete.pdf" TargetMode="External"/><Relationship Id="rId1" Type="http://schemas.openxmlformats.org/officeDocument/2006/relationships/hyperlink" Target="http://www.defra.gov.uk/news/2011/03/11/research-shows-companies-can-save-money-by-helping-the-environment/" TargetMode="External"/><Relationship Id="rId6" Type="http://schemas.openxmlformats.org/officeDocument/2006/relationships/hyperlink" Target="http://www.npl.co.uk/publications/good-practice-online-modules/measurement-uncertainty/basics-of-uncertainty-analysis/" TargetMode="External"/><Relationship Id="rId11" Type="http://schemas.openxmlformats.org/officeDocument/2006/relationships/hyperlink" Target="https://www.cdp.net/Documents/Guidance/CDP2013ReportingGuidance.pdf" TargetMode="External"/><Relationship Id="rId24" Type="http://schemas.openxmlformats.org/officeDocument/2006/relationships/hyperlink" Target="http://www.teebweb.org/" TargetMode="External"/><Relationship Id="rId32" Type="http://schemas.openxmlformats.org/officeDocument/2006/relationships/hyperlink" Target="http://www.iso.org/iso/home/standards/management-standards/iso14000.htm" TargetMode="External"/><Relationship Id="rId37" Type="http://schemas.openxmlformats.org/officeDocument/2006/relationships/hyperlink" Target="https://www.gov.uk/government/publications/fuel-mix-disclosure-data-table" TargetMode="External"/><Relationship Id="rId40" Type="http://schemas.openxmlformats.org/officeDocument/2006/relationships/hyperlink" Target="http://assets.wwf.org.uk/downloads/water_footprint_uk.pdf" TargetMode="External"/><Relationship Id="rId45" Type="http://schemas.openxmlformats.org/officeDocument/2006/relationships/hyperlink" Target="http://www.gemi.org/water/overview.htm" TargetMode="External"/><Relationship Id="rId53" Type="http://schemas.openxmlformats.org/officeDocument/2006/relationships/hyperlink" Target="https://www.globalreporting.org/resourcelibrary/MMSS-Complete.pdf" TargetMode="External"/><Relationship Id="rId58" Type="http://schemas.openxmlformats.org/officeDocument/2006/relationships/hyperlink" Target="http://www.cefas.defra.gov.uk/industry-information/offshore-chemical-notification-scheme.aspx" TargetMode="External"/><Relationship Id="rId5" Type="http://schemas.openxmlformats.org/officeDocument/2006/relationships/hyperlink" Target="http://www.ghgprotocol.org/standards/corporate-standard" TargetMode="External"/><Relationship Id="rId15" Type="http://schemas.openxmlformats.org/officeDocument/2006/relationships/hyperlink" Target="http://www.wrap.org.uk" TargetMode="External"/><Relationship Id="rId23" Type="http://schemas.openxmlformats.org/officeDocument/2006/relationships/hyperlink" Target="http://archive.defra.gov.uk/environment/natural/documents/UKNEA_SynthesisReport.pdf" TargetMode="External"/><Relationship Id="rId28" Type="http://schemas.openxmlformats.org/officeDocument/2006/relationships/hyperlink" Target="http://www.naturalcapitalproject.org/InVEST.html%20" TargetMode="External"/><Relationship Id="rId36" Type="http://schemas.openxmlformats.org/officeDocument/2006/relationships/hyperlink" Target="http://www.forestry.gov.uk/carboncode" TargetMode="External"/><Relationship Id="rId49" Type="http://schemas.openxmlformats.org/officeDocument/2006/relationships/hyperlink" Target="http://ceowatermandate.org/about/" TargetMode="External"/><Relationship Id="rId57" Type="http://schemas.openxmlformats.org/officeDocument/2006/relationships/hyperlink" Target="http://www.ospar.org/documents/DBASE/DECRECS/Agreements/02-06e_Common%20interpretation.doc" TargetMode="External"/><Relationship Id="rId10" Type="http://schemas.openxmlformats.org/officeDocument/2006/relationships/hyperlink" Target="http://www.ghgprotocol.org/standards/corporate-standard" TargetMode="External"/><Relationship Id="rId19" Type="http://schemas.openxmlformats.org/officeDocument/2006/relationships/hyperlink" Target="http://www.environment-agency.gov.uk/static/documents/Business/eprtr_guidance_doc_1426519.pdf" TargetMode="External"/><Relationship Id="rId31" Type="http://schemas.openxmlformats.org/officeDocument/2006/relationships/hyperlink" Target="http://www.naturalvalueinitiative.org/" TargetMode="External"/><Relationship Id="rId44" Type="http://schemas.openxmlformats.org/officeDocument/2006/relationships/hyperlink" Target="http://www.wbcsd.org/work-program/sector-projects/water/global-water-tool.aspx" TargetMode="External"/><Relationship Id="rId52" Type="http://schemas.openxmlformats.org/officeDocument/2006/relationships/hyperlink" Target="http://www.icmm.com/our-work/sustainable-development-framework/10-principles" TargetMode="External"/><Relationship Id="rId4" Type="http://schemas.openxmlformats.org/officeDocument/2006/relationships/hyperlink" Target="http://www.environment-agency.gov.uk/environmentalfinance" TargetMode="External"/><Relationship Id="rId9" Type="http://schemas.openxmlformats.org/officeDocument/2006/relationships/hyperlink" Target="http://www.iema.net/ems" TargetMode="External"/><Relationship Id="rId14" Type="http://schemas.openxmlformats.org/officeDocument/2006/relationships/hyperlink" Target="https://www.gov.uk/government/uploads/system/uploads/attachment_data/file/69511/pb13719-resource-security-action-plan.pdf" TargetMode="External"/><Relationship Id="rId22" Type="http://schemas.openxmlformats.org/officeDocument/2006/relationships/hyperlink" Target="http://www.fta.co.uk/policy_and_compliance/environment/vehicle_emissions.html" TargetMode="External"/><Relationship Id="rId27" Type="http://schemas.openxmlformats.org/officeDocument/2006/relationships/hyperlink" Target="http://www.afordablefutures.com/services/mimes" TargetMode="External"/><Relationship Id="rId30" Type="http://schemas.openxmlformats.org/officeDocument/2006/relationships/hyperlink" Target="https://www.ibatforbusiness.org/loginThe%20" TargetMode="External"/><Relationship Id="rId35" Type="http://schemas.openxmlformats.org/officeDocument/2006/relationships/hyperlink" Target="https://www.gov.uk/measuring-and-reporting-environmental-impacts-guidance-for-businesses" TargetMode="External"/><Relationship Id="rId43" Type="http://schemas.openxmlformats.org/officeDocument/2006/relationships/hyperlink" Target="https://www.globalreporting.org/resourcelibrary/G3.1-Environment-Indicator-Protocols.pdf" TargetMode="External"/><Relationship Id="rId48" Type="http://schemas.openxmlformats.org/officeDocument/2006/relationships/hyperlink" Target="http://www.allianceforwaterstewardship.org/index.html" TargetMode="External"/><Relationship Id="rId56" Type="http://schemas.openxmlformats.org/officeDocument/2006/relationships/hyperlink" Target="http://www.ospar.org/documents/DBASE/DECRECS/Decisions/od00-02e.doc" TargetMode="External"/><Relationship Id="rId8" Type="http://schemas.openxmlformats.org/officeDocument/2006/relationships/hyperlink" Target="http://www.iema.net/shop/product_info.php?cPath=27_29&amp;products_id=7895" TargetMode="External"/><Relationship Id="rId51" Type="http://schemas.openxmlformats.org/officeDocument/2006/relationships/hyperlink" Target="http://marinemanagement.org.uk/licensing/documents/guidance/08.pdf" TargetMode="External"/><Relationship Id="rId3" Type="http://schemas.openxmlformats.org/officeDocument/2006/relationships/hyperlink" Target="https://www.gov.uk/sharing-information-on-greenhouse-gas-emissions-from-local-authority-own-estate-and-operations-previously-ni-185" TargetMode="External"/></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5AF181-8AC1-42E2-B896-B2778EDF46BC}" type="doc">
      <dgm:prSet loTypeId="urn:microsoft.com/office/officeart/2005/8/layout/pyramid3" loCatId="pyramid" qsTypeId="urn:microsoft.com/office/officeart/2005/8/quickstyle/simple1" qsCatId="simple" csTypeId="urn:microsoft.com/office/officeart/2005/8/colors/accent3_3" csCatId="accent3" phldr="1"/>
      <dgm:spPr/>
    </dgm:pt>
    <dgm:pt modelId="{92E66400-DE9B-4164-9CDB-B1FAC8302A50}">
      <dgm:prSet phldrT="[Text]" custT="1"/>
      <dgm:spPr/>
      <dgm:t>
        <a:bodyPr/>
        <a:lstStyle/>
        <a:p>
          <a:r>
            <a:rPr lang="en-GB" sz="1800">
              <a:latin typeface="Arial" pitchFamily="34" charset="0"/>
              <a:cs typeface="Arial" pitchFamily="34" charset="0"/>
            </a:rPr>
            <a:t>Prevention</a:t>
          </a:r>
        </a:p>
      </dgm:t>
    </dgm:pt>
    <dgm:pt modelId="{606D7963-F0BE-4DC9-89C5-4139B4C0F874}" type="parTrans" cxnId="{46A2DBF1-D2C2-46B7-A3BB-E13697242A99}">
      <dgm:prSet/>
      <dgm:spPr/>
      <dgm:t>
        <a:bodyPr/>
        <a:lstStyle/>
        <a:p>
          <a:endParaRPr lang="en-GB" sz="1800">
            <a:latin typeface="Arial" pitchFamily="34" charset="0"/>
            <a:cs typeface="Arial" pitchFamily="34" charset="0"/>
          </a:endParaRPr>
        </a:p>
      </dgm:t>
    </dgm:pt>
    <dgm:pt modelId="{D053A675-FA13-4E05-81DB-3C701B894DA1}" type="sibTrans" cxnId="{46A2DBF1-D2C2-46B7-A3BB-E13697242A99}">
      <dgm:prSet/>
      <dgm:spPr/>
      <dgm:t>
        <a:bodyPr/>
        <a:lstStyle/>
        <a:p>
          <a:endParaRPr lang="en-GB" sz="1800">
            <a:latin typeface="Arial" pitchFamily="34" charset="0"/>
            <a:cs typeface="Arial" pitchFamily="34" charset="0"/>
          </a:endParaRPr>
        </a:p>
      </dgm:t>
    </dgm:pt>
    <dgm:pt modelId="{C53E984A-6B5E-425E-8230-65D55C6FED2F}">
      <dgm:prSet phldrT="[Text]" custT="1"/>
      <dgm:spPr/>
      <dgm:t>
        <a:bodyPr/>
        <a:lstStyle/>
        <a:p>
          <a:r>
            <a:rPr lang="en-GB" sz="1800">
              <a:latin typeface="Arial" pitchFamily="34" charset="0"/>
              <a:cs typeface="Arial" pitchFamily="34" charset="0"/>
            </a:rPr>
            <a:t>Preparing for re-use</a:t>
          </a:r>
        </a:p>
      </dgm:t>
    </dgm:pt>
    <dgm:pt modelId="{7271FCD9-BFD9-4808-A854-38C75E422F8B}" type="parTrans" cxnId="{8D3C63E1-19DC-4A76-B39E-B9A1C73100D5}">
      <dgm:prSet/>
      <dgm:spPr/>
      <dgm:t>
        <a:bodyPr/>
        <a:lstStyle/>
        <a:p>
          <a:endParaRPr lang="en-GB" sz="1800">
            <a:latin typeface="Arial" pitchFamily="34" charset="0"/>
            <a:cs typeface="Arial" pitchFamily="34" charset="0"/>
          </a:endParaRPr>
        </a:p>
      </dgm:t>
    </dgm:pt>
    <dgm:pt modelId="{03DAAF52-E977-433D-B53B-62C7F61EBC0D}" type="sibTrans" cxnId="{8D3C63E1-19DC-4A76-B39E-B9A1C73100D5}">
      <dgm:prSet/>
      <dgm:spPr/>
      <dgm:t>
        <a:bodyPr/>
        <a:lstStyle/>
        <a:p>
          <a:endParaRPr lang="en-GB" sz="1800">
            <a:latin typeface="Arial" pitchFamily="34" charset="0"/>
            <a:cs typeface="Arial" pitchFamily="34" charset="0"/>
          </a:endParaRPr>
        </a:p>
      </dgm:t>
    </dgm:pt>
    <dgm:pt modelId="{20EF542A-290E-4365-B1A3-2BC4E2843F5B}">
      <dgm:prSet phldrT="[Text]" custT="1"/>
      <dgm:spPr/>
      <dgm:t>
        <a:bodyPr/>
        <a:lstStyle/>
        <a:p>
          <a:r>
            <a:rPr lang="en-GB" sz="1800">
              <a:latin typeface="Arial" pitchFamily="34" charset="0"/>
              <a:cs typeface="Arial" pitchFamily="34" charset="0"/>
            </a:rPr>
            <a:t>Recycling</a:t>
          </a:r>
        </a:p>
      </dgm:t>
    </dgm:pt>
    <dgm:pt modelId="{F0E9B6A6-23E8-42DD-8F8E-836A09794DA3}" type="parTrans" cxnId="{BEE0F5A4-68A5-4020-9E67-D681C052D0C5}">
      <dgm:prSet/>
      <dgm:spPr/>
      <dgm:t>
        <a:bodyPr/>
        <a:lstStyle/>
        <a:p>
          <a:endParaRPr lang="en-GB" sz="1800">
            <a:latin typeface="Arial" pitchFamily="34" charset="0"/>
            <a:cs typeface="Arial" pitchFamily="34" charset="0"/>
          </a:endParaRPr>
        </a:p>
      </dgm:t>
    </dgm:pt>
    <dgm:pt modelId="{1E58887B-4E66-4474-8AEE-0AA214C95696}" type="sibTrans" cxnId="{BEE0F5A4-68A5-4020-9E67-D681C052D0C5}">
      <dgm:prSet/>
      <dgm:spPr/>
      <dgm:t>
        <a:bodyPr/>
        <a:lstStyle/>
        <a:p>
          <a:endParaRPr lang="en-GB" sz="1800">
            <a:latin typeface="Arial" pitchFamily="34" charset="0"/>
            <a:cs typeface="Arial" pitchFamily="34" charset="0"/>
          </a:endParaRPr>
        </a:p>
      </dgm:t>
    </dgm:pt>
    <dgm:pt modelId="{7EE8C90F-AC53-4E9F-B89F-C3326B6A7F4A}">
      <dgm:prSet custT="1"/>
      <dgm:spPr/>
      <dgm:t>
        <a:bodyPr/>
        <a:lstStyle/>
        <a:p>
          <a:r>
            <a:rPr lang="en-GB" sz="1800">
              <a:latin typeface="Arial" pitchFamily="34" charset="0"/>
              <a:cs typeface="Arial" pitchFamily="34" charset="0"/>
            </a:rPr>
            <a:t>Other recovery</a:t>
          </a:r>
        </a:p>
      </dgm:t>
    </dgm:pt>
    <dgm:pt modelId="{E2819295-2C2D-4423-BEA3-08958F2C18CD}" type="parTrans" cxnId="{AC4C1A22-4059-4A91-819D-868D1C69EA14}">
      <dgm:prSet/>
      <dgm:spPr/>
      <dgm:t>
        <a:bodyPr/>
        <a:lstStyle/>
        <a:p>
          <a:endParaRPr lang="en-GB" sz="1800">
            <a:latin typeface="Arial" pitchFamily="34" charset="0"/>
            <a:cs typeface="Arial" pitchFamily="34" charset="0"/>
          </a:endParaRPr>
        </a:p>
      </dgm:t>
    </dgm:pt>
    <dgm:pt modelId="{35A364F9-FF24-44A6-A61A-DEEE6AD7DC67}" type="sibTrans" cxnId="{AC4C1A22-4059-4A91-819D-868D1C69EA14}">
      <dgm:prSet/>
      <dgm:spPr/>
      <dgm:t>
        <a:bodyPr/>
        <a:lstStyle/>
        <a:p>
          <a:endParaRPr lang="en-GB" sz="1800">
            <a:latin typeface="Arial" pitchFamily="34" charset="0"/>
            <a:cs typeface="Arial" pitchFamily="34" charset="0"/>
          </a:endParaRPr>
        </a:p>
      </dgm:t>
    </dgm:pt>
    <dgm:pt modelId="{AC6F4978-4CD1-43A6-99B1-161751312D76}">
      <dgm:prSet custT="1"/>
      <dgm:spPr/>
      <dgm:t>
        <a:bodyPr/>
        <a:lstStyle/>
        <a:p>
          <a:r>
            <a:rPr lang="en-GB" sz="1800">
              <a:latin typeface="Arial" pitchFamily="34" charset="0"/>
              <a:cs typeface="Arial" pitchFamily="34" charset="0"/>
            </a:rPr>
            <a:t>Disposal</a:t>
          </a:r>
        </a:p>
      </dgm:t>
    </dgm:pt>
    <dgm:pt modelId="{50BB2B8C-1D64-46DF-A746-961CF023273B}" type="parTrans" cxnId="{C43888E4-8B8F-46B8-856D-61E75FD9AEFE}">
      <dgm:prSet/>
      <dgm:spPr/>
      <dgm:t>
        <a:bodyPr/>
        <a:lstStyle/>
        <a:p>
          <a:endParaRPr lang="en-GB" sz="1800">
            <a:latin typeface="Arial" pitchFamily="34" charset="0"/>
            <a:cs typeface="Arial" pitchFamily="34" charset="0"/>
          </a:endParaRPr>
        </a:p>
      </dgm:t>
    </dgm:pt>
    <dgm:pt modelId="{DC1DCCA0-7773-4C83-B413-3F06E65ECC2D}" type="sibTrans" cxnId="{C43888E4-8B8F-46B8-856D-61E75FD9AEFE}">
      <dgm:prSet/>
      <dgm:spPr/>
      <dgm:t>
        <a:bodyPr/>
        <a:lstStyle/>
        <a:p>
          <a:endParaRPr lang="en-GB" sz="1800">
            <a:latin typeface="Arial" pitchFamily="34" charset="0"/>
            <a:cs typeface="Arial" pitchFamily="34" charset="0"/>
          </a:endParaRPr>
        </a:p>
      </dgm:t>
    </dgm:pt>
    <dgm:pt modelId="{A8C0851C-E686-4443-9EF2-1FD9BC0CF668}" type="pres">
      <dgm:prSet presAssocID="{DE5AF181-8AC1-42E2-B896-B2778EDF46BC}" presName="Name0" presStyleCnt="0">
        <dgm:presLayoutVars>
          <dgm:dir/>
          <dgm:animLvl val="lvl"/>
          <dgm:resizeHandles val="exact"/>
        </dgm:presLayoutVars>
      </dgm:prSet>
      <dgm:spPr/>
    </dgm:pt>
    <dgm:pt modelId="{F9B3EE22-CF81-485D-8EA0-AE18A4247E50}" type="pres">
      <dgm:prSet presAssocID="{92E66400-DE9B-4164-9CDB-B1FAC8302A50}" presName="Name8" presStyleCnt="0"/>
      <dgm:spPr/>
    </dgm:pt>
    <dgm:pt modelId="{59EC443B-2639-4F7F-AF79-FBE061F8B6C8}" type="pres">
      <dgm:prSet presAssocID="{92E66400-DE9B-4164-9CDB-B1FAC8302A50}" presName="level" presStyleLbl="node1" presStyleIdx="0" presStyleCnt="5">
        <dgm:presLayoutVars>
          <dgm:chMax val="1"/>
          <dgm:bulletEnabled val="1"/>
        </dgm:presLayoutVars>
      </dgm:prSet>
      <dgm:spPr/>
      <dgm:t>
        <a:bodyPr/>
        <a:lstStyle/>
        <a:p>
          <a:endParaRPr lang="en-GB"/>
        </a:p>
      </dgm:t>
    </dgm:pt>
    <dgm:pt modelId="{2C03BB36-6978-4DE0-9231-5D9C22F230AD}" type="pres">
      <dgm:prSet presAssocID="{92E66400-DE9B-4164-9CDB-B1FAC8302A50}" presName="levelTx" presStyleLbl="revTx" presStyleIdx="0" presStyleCnt="0">
        <dgm:presLayoutVars>
          <dgm:chMax val="1"/>
          <dgm:bulletEnabled val="1"/>
        </dgm:presLayoutVars>
      </dgm:prSet>
      <dgm:spPr/>
      <dgm:t>
        <a:bodyPr/>
        <a:lstStyle/>
        <a:p>
          <a:endParaRPr lang="en-GB"/>
        </a:p>
      </dgm:t>
    </dgm:pt>
    <dgm:pt modelId="{4C3E2C41-8FC4-4BF5-AAE6-42E0A69B3E83}" type="pres">
      <dgm:prSet presAssocID="{C53E984A-6B5E-425E-8230-65D55C6FED2F}" presName="Name8" presStyleCnt="0"/>
      <dgm:spPr/>
    </dgm:pt>
    <dgm:pt modelId="{776A47C5-1233-428F-9546-7C1F21B3D418}" type="pres">
      <dgm:prSet presAssocID="{C53E984A-6B5E-425E-8230-65D55C6FED2F}" presName="level" presStyleLbl="node1" presStyleIdx="1" presStyleCnt="5">
        <dgm:presLayoutVars>
          <dgm:chMax val="1"/>
          <dgm:bulletEnabled val="1"/>
        </dgm:presLayoutVars>
      </dgm:prSet>
      <dgm:spPr/>
      <dgm:t>
        <a:bodyPr/>
        <a:lstStyle/>
        <a:p>
          <a:endParaRPr lang="en-GB"/>
        </a:p>
      </dgm:t>
    </dgm:pt>
    <dgm:pt modelId="{624FB39E-8181-4579-BE41-58D1DB2DF56A}" type="pres">
      <dgm:prSet presAssocID="{C53E984A-6B5E-425E-8230-65D55C6FED2F}" presName="levelTx" presStyleLbl="revTx" presStyleIdx="0" presStyleCnt="0">
        <dgm:presLayoutVars>
          <dgm:chMax val="1"/>
          <dgm:bulletEnabled val="1"/>
        </dgm:presLayoutVars>
      </dgm:prSet>
      <dgm:spPr/>
      <dgm:t>
        <a:bodyPr/>
        <a:lstStyle/>
        <a:p>
          <a:endParaRPr lang="en-GB"/>
        </a:p>
      </dgm:t>
    </dgm:pt>
    <dgm:pt modelId="{08963301-F78E-49FA-9B04-ACA4D461B46E}" type="pres">
      <dgm:prSet presAssocID="{20EF542A-290E-4365-B1A3-2BC4E2843F5B}" presName="Name8" presStyleCnt="0"/>
      <dgm:spPr/>
    </dgm:pt>
    <dgm:pt modelId="{CA194030-D764-48EA-90CE-B970EF5F409A}" type="pres">
      <dgm:prSet presAssocID="{20EF542A-290E-4365-B1A3-2BC4E2843F5B}" presName="level" presStyleLbl="node1" presStyleIdx="2" presStyleCnt="5">
        <dgm:presLayoutVars>
          <dgm:chMax val="1"/>
          <dgm:bulletEnabled val="1"/>
        </dgm:presLayoutVars>
      </dgm:prSet>
      <dgm:spPr/>
      <dgm:t>
        <a:bodyPr/>
        <a:lstStyle/>
        <a:p>
          <a:endParaRPr lang="en-GB"/>
        </a:p>
      </dgm:t>
    </dgm:pt>
    <dgm:pt modelId="{9053D674-7C7F-4D72-A6F2-85C4C6436CD1}" type="pres">
      <dgm:prSet presAssocID="{20EF542A-290E-4365-B1A3-2BC4E2843F5B}" presName="levelTx" presStyleLbl="revTx" presStyleIdx="0" presStyleCnt="0">
        <dgm:presLayoutVars>
          <dgm:chMax val="1"/>
          <dgm:bulletEnabled val="1"/>
        </dgm:presLayoutVars>
      </dgm:prSet>
      <dgm:spPr/>
      <dgm:t>
        <a:bodyPr/>
        <a:lstStyle/>
        <a:p>
          <a:endParaRPr lang="en-GB"/>
        </a:p>
      </dgm:t>
    </dgm:pt>
    <dgm:pt modelId="{3BBD0FAC-8ECB-4DD9-BC70-DB582AE82CE8}" type="pres">
      <dgm:prSet presAssocID="{7EE8C90F-AC53-4E9F-B89F-C3326B6A7F4A}" presName="Name8" presStyleCnt="0"/>
      <dgm:spPr/>
    </dgm:pt>
    <dgm:pt modelId="{607CBDD5-B73B-4124-BC5E-45C4516DF6D8}" type="pres">
      <dgm:prSet presAssocID="{7EE8C90F-AC53-4E9F-B89F-C3326B6A7F4A}" presName="level" presStyleLbl="node1" presStyleIdx="3" presStyleCnt="5">
        <dgm:presLayoutVars>
          <dgm:chMax val="1"/>
          <dgm:bulletEnabled val="1"/>
        </dgm:presLayoutVars>
      </dgm:prSet>
      <dgm:spPr/>
      <dgm:t>
        <a:bodyPr/>
        <a:lstStyle/>
        <a:p>
          <a:endParaRPr lang="en-GB"/>
        </a:p>
      </dgm:t>
    </dgm:pt>
    <dgm:pt modelId="{AA7AE453-F893-4B63-9D1A-A44CE2EDB2D3}" type="pres">
      <dgm:prSet presAssocID="{7EE8C90F-AC53-4E9F-B89F-C3326B6A7F4A}" presName="levelTx" presStyleLbl="revTx" presStyleIdx="0" presStyleCnt="0">
        <dgm:presLayoutVars>
          <dgm:chMax val="1"/>
          <dgm:bulletEnabled val="1"/>
        </dgm:presLayoutVars>
      </dgm:prSet>
      <dgm:spPr/>
      <dgm:t>
        <a:bodyPr/>
        <a:lstStyle/>
        <a:p>
          <a:endParaRPr lang="en-GB"/>
        </a:p>
      </dgm:t>
    </dgm:pt>
    <dgm:pt modelId="{E268F3D3-6B89-4740-898A-85A2650A9907}" type="pres">
      <dgm:prSet presAssocID="{AC6F4978-4CD1-43A6-99B1-161751312D76}" presName="Name8" presStyleCnt="0"/>
      <dgm:spPr/>
    </dgm:pt>
    <dgm:pt modelId="{1BD93724-7F6B-463D-9FE1-CB52AFF63F4C}" type="pres">
      <dgm:prSet presAssocID="{AC6F4978-4CD1-43A6-99B1-161751312D76}" presName="level" presStyleLbl="node1" presStyleIdx="4" presStyleCnt="5">
        <dgm:presLayoutVars>
          <dgm:chMax val="1"/>
          <dgm:bulletEnabled val="1"/>
        </dgm:presLayoutVars>
      </dgm:prSet>
      <dgm:spPr/>
      <dgm:t>
        <a:bodyPr/>
        <a:lstStyle/>
        <a:p>
          <a:endParaRPr lang="en-GB"/>
        </a:p>
      </dgm:t>
    </dgm:pt>
    <dgm:pt modelId="{F51CA9D1-0BEA-44D2-A696-4461F34C877E}" type="pres">
      <dgm:prSet presAssocID="{AC6F4978-4CD1-43A6-99B1-161751312D76}" presName="levelTx" presStyleLbl="revTx" presStyleIdx="0" presStyleCnt="0">
        <dgm:presLayoutVars>
          <dgm:chMax val="1"/>
          <dgm:bulletEnabled val="1"/>
        </dgm:presLayoutVars>
      </dgm:prSet>
      <dgm:spPr/>
      <dgm:t>
        <a:bodyPr/>
        <a:lstStyle/>
        <a:p>
          <a:endParaRPr lang="en-GB"/>
        </a:p>
      </dgm:t>
    </dgm:pt>
  </dgm:ptLst>
  <dgm:cxnLst>
    <dgm:cxn modelId="{D234899C-E06A-4CBF-870B-01C643F1C62B}" type="presOf" srcId="{C53E984A-6B5E-425E-8230-65D55C6FED2F}" destId="{624FB39E-8181-4579-BE41-58D1DB2DF56A}" srcOrd="1" destOrd="0" presId="urn:microsoft.com/office/officeart/2005/8/layout/pyramid3"/>
    <dgm:cxn modelId="{4A7A2AC0-88A8-4059-A1CE-953620B6B359}" type="presOf" srcId="{7EE8C90F-AC53-4E9F-B89F-C3326B6A7F4A}" destId="{AA7AE453-F893-4B63-9D1A-A44CE2EDB2D3}" srcOrd="1" destOrd="0" presId="urn:microsoft.com/office/officeart/2005/8/layout/pyramid3"/>
    <dgm:cxn modelId="{2AFE3FB9-ABF7-4024-A600-AD9AE4DFA5A5}" type="presOf" srcId="{C53E984A-6B5E-425E-8230-65D55C6FED2F}" destId="{776A47C5-1233-428F-9546-7C1F21B3D418}" srcOrd="0" destOrd="0" presId="urn:microsoft.com/office/officeart/2005/8/layout/pyramid3"/>
    <dgm:cxn modelId="{55FE12E3-2F18-408F-A9EE-6571142F4F20}" type="presOf" srcId="{7EE8C90F-AC53-4E9F-B89F-C3326B6A7F4A}" destId="{607CBDD5-B73B-4124-BC5E-45C4516DF6D8}" srcOrd="0" destOrd="0" presId="urn:microsoft.com/office/officeart/2005/8/layout/pyramid3"/>
    <dgm:cxn modelId="{13BDA9DB-7721-4CE8-8C5D-1FB0A8849645}" type="presOf" srcId="{92E66400-DE9B-4164-9CDB-B1FAC8302A50}" destId="{59EC443B-2639-4F7F-AF79-FBE061F8B6C8}" srcOrd="0" destOrd="0" presId="urn:microsoft.com/office/officeart/2005/8/layout/pyramid3"/>
    <dgm:cxn modelId="{DB9E6F45-5210-4CE2-8F21-7256C6E5C239}" type="presOf" srcId="{20EF542A-290E-4365-B1A3-2BC4E2843F5B}" destId="{9053D674-7C7F-4D72-A6F2-85C4C6436CD1}" srcOrd="1" destOrd="0" presId="urn:microsoft.com/office/officeart/2005/8/layout/pyramid3"/>
    <dgm:cxn modelId="{7D0DB72A-AA7E-463C-A84C-C549494EDC70}" type="presOf" srcId="{92E66400-DE9B-4164-9CDB-B1FAC8302A50}" destId="{2C03BB36-6978-4DE0-9231-5D9C22F230AD}" srcOrd="1" destOrd="0" presId="urn:microsoft.com/office/officeart/2005/8/layout/pyramid3"/>
    <dgm:cxn modelId="{4D55921C-0475-429D-8A6F-1A81DF215A2A}" type="presOf" srcId="{AC6F4978-4CD1-43A6-99B1-161751312D76}" destId="{F51CA9D1-0BEA-44D2-A696-4461F34C877E}" srcOrd="1" destOrd="0" presId="urn:microsoft.com/office/officeart/2005/8/layout/pyramid3"/>
    <dgm:cxn modelId="{46A2DBF1-D2C2-46B7-A3BB-E13697242A99}" srcId="{DE5AF181-8AC1-42E2-B896-B2778EDF46BC}" destId="{92E66400-DE9B-4164-9CDB-B1FAC8302A50}" srcOrd="0" destOrd="0" parTransId="{606D7963-F0BE-4DC9-89C5-4139B4C0F874}" sibTransId="{D053A675-FA13-4E05-81DB-3C701B894DA1}"/>
    <dgm:cxn modelId="{70646ADA-D0F0-4E8E-8FEE-49E45B32EB09}" type="presOf" srcId="{DE5AF181-8AC1-42E2-B896-B2778EDF46BC}" destId="{A8C0851C-E686-4443-9EF2-1FD9BC0CF668}" srcOrd="0" destOrd="0" presId="urn:microsoft.com/office/officeart/2005/8/layout/pyramid3"/>
    <dgm:cxn modelId="{AC4C1A22-4059-4A91-819D-868D1C69EA14}" srcId="{DE5AF181-8AC1-42E2-B896-B2778EDF46BC}" destId="{7EE8C90F-AC53-4E9F-B89F-C3326B6A7F4A}" srcOrd="3" destOrd="0" parTransId="{E2819295-2C2D-4423-BEA3-08958F2C18CD}" sibTransId="{35A364F9-FF24-44A6-A61A-DEEE6AD7DC67}"/>
    <dgm:cxn modelId="{D5896F49-CC41-4CEC-8F42-DA334FD7D8D1}" type="presOf" srcId="{20EF542A-290E-4365-B1A3-2BC4E2843F5B}" destId="{CA194030-D764-48EA-90CE-B970EF5F409A}" srcOrd="0" destOrd="0" presId="urn:microsoft.com/office/officeart/2005/8/layout/pyramid3"/>
    <dgm:cxn modelId="{C43888E4-8B8F-46B8-856D-61E75FD9AEFE}" srcId="{DE5AF181-8AC1-42E2-B896-B2778EDF46BC}" destId="{AC6F4978-4CD1-43A6-99B1-161751312D76}" srcOrd="4" destOrd="0" parTransId="{50BB2B8C-1D64-46DF-A746-961CF023273B}" sibTransId="{DC1DCCA0-7773-4C83-B413-3F06E65ECC2D}"/>
    <dgm:cxn modelId="{C4D71C9C-A8DF-4AA2-9996-18EF3A8F59B3}" type="presOf" srcId="{AC6F4978-4CD1-43A6-99B1-161751312D76}" destId="{1BD93724-7F6B-463D-9FE1-CB52AFF63F4C}" srcOrd="0" destOrd="0" presId="urn:microsoft.com/office/officeart/2005/8/layout/pyramid3"/>
    <dgm:cxn modelId="{BEE0F5A4-68A5-4020-9E67-D681C052D0C5}" srcId="{DE5AF181-8AC1-42E2-B896-B2778EDF46BC}" destId="{20EF542A-290E-4365-B1A3-2BC4E2843F5B}" srcOrd="2" destOrd="0" parTransId="{F0E9B6A6-23E8-42DD-8F8E-836A09794DA3}" sibTransId="{1E58887B-4E66-4474-8AEE-0AA214C95696}"/>
    <dgm:cxn modelId="{8D3C63E1-19DC-4A76-B39E-B9A1C73100D5}" srcId="{DE5AF181-8AC1-42E2-B896-B2778EDF46BC}" destId="{C53E984A-6B5E-425E-8230-65D55C6FED2F}" srcOrd="1" destOrd="0" parTransId="{7271FCD9-BFD9-4808-A854-38C75E422F8B}" sibTransId="{03DAAF52-E977-433D-B53B-62C7F61EBC0D}"/>
    <dgm:cxn modelId="{1E106CBC-E107-4854-89D1-4DC6CE9FD0A7}" type="presParOf" srcId="{A8C0851C-E686-4443-9EF2-1FD9BC0CF668}" destId="{F9B3EE22-CF81-485D-8EA0-AE18A4247E50}" srcOrd="0" destOrd="0" presId="urn:microsoft.com/office/officeart/2005/8/layout/pyramid3"/>
    <dgm:cxn modelId="{ED58160A-9B85-403D-BEB7-BFB91AB05C9F}" type="presParOf" srcId="{F9B3EE22-CF81-485D-8EA0-AE18A4247E50}" destId="{59EC443B-2639-4F7F-AF79-FBE061F8B6C8}" srcOrd="0" destOrd="0" presId="urn:microsoft.com/office/officeart/2005/8/layout/pyramid3"/>
    <dgm:cxn modelId="{9037CB10-2F10-4123-A8B4-33A0CFD4D7AD}" type="presParOf" srcId="{F9B3EE22-CF81-485D-8EA0-AE18A4247E50}" destId="{2C03BB36-6978-4DE0-9231-5D9C22F230AD}" srcOrd="1" destOrd="0" presId="urn:microsoft.com/office/officeart/2005/8/layout/pyramid3"/>
    <dgm:cxn modelId="{E02EB0A3-53A5-413E-BE55-A559BD5EF338}" type="presParOf" srcId="{A8C0851C-E686-4443-9EF2-1FD9BC0CF668}" destId="{4C3E2C41-8FC4-4BF5-AAE6-42E0A69B3E83}" srcOrd="1" destOrd="0" presId="urn:microsoft.com/office/officeart/2005/8/layout/pyramid3"/>
    <dgm:cxn modelId="{EB5A7B56-029A-4307-B665-58818E3DD46B}" type="presParOf" srcId="{4C3E2C41-8FC4-4BF5-AAE6-42E0A69B3E83}" destId="{776A47C5-1233-428F-9546-7C1F21B3D418}" srcOrd="0" destOrd="0" presId="urn:microsoft.com/office/officeart/2005/8/layout/pyramid3"/>
    <dgm:cxn modelId="{788EBE2C-F70C-41B7-AAA1-D8FD1DD7E10E}" type="presParOf" srcId="{4C3E2C41-8FC4-4BF5-AAE6-42E0A69B3E83}" destId="{624FB39E-8181-4579-BE41-58D1DB2DF56A}" srcOrd="1" destOrd="0" presId="urn:microsoft.com/office/officeart/2005/8/layout/pyramid3"/>
    <dgm:cxn modelId="{0DD266EC-CD40-4764-8D5A-38C829C40017}" type="presParOf" srcId="{A8C0851C-E686-4443-9EF2-1FD9BC0CF668}" destId="{08963301-F78E-49FA-9B04-ACA4D461B46E}" srcOrd="2" destOrd="0" presId="urn:microsoft.com/office/officeart/2005/8/layout/pyramid3"/>
    <dgm:cxn modelId="{3A7D7048-624F-457C-8A01-AA16EC3F23BC}" type="presParOf" srcId="{08963301-F78E-49FA-9B04-ACA4D461B46E}" destId="{CA194030-D764-48EA-90CE-B970EF5F409A}" srcOrd="0" destOrd="0" presId="urn:microsoft.com/office/officeart/2005/8/layout/pyramid3"/>
    <dgm:cxn modelId="{B9E1943F-BA69-438B-830C-C6A25B132B3B}" type="presParOf" srcId="{08963301-F78E-49FA-9B04-ACA4D461B46E}" destId="{9053D674-7C7F-4D72-A6F2-85C4C6436CD1}" srcOrd="1" destOrd="0" presId="urn:microsoft.com/office/officeart/2005/8/layout/pyramid3"/>
    <dgm:cxn modelId="{2E841933-E2BE-4A3F-8FB0-550E2394BACB}" type="presParOf" srcId="{A8C0851C-E686-4443-9EF2-1FD9BC0CF668}" destId="{3BBD0FAC-8ECB-4DD9-BC70-DB582AE82CE8}" srcOrd="3" destOrd="0" presId="urn:microsoft.com/office/officeart/2005/8/layout/pyramid3"/>
    <dgm:cxn modelId="{0DA48B2F-E698-490E-86AC-B1B556E342CA}" type="presParOf" srcId="{3BBD0FAC-8ECB-4DD9-BC70-DB582AE82CE8}" destId="{607CBDD5-B73B-4124-BC5E-45C4516DF6D8}" srcOrd="0" destOrd="0" presId="urn:microsoft.com/office/officeart/2005/8/layout/pyramid3"/>
    <dgm:cxn modelId="{71EDDE76-E308-407B-BD27-D7167D9EDBB1}" type="presParOf" srcId="{3BBD0FAC-8ECB-4DD9-BC70-DB582AE82CE8}" destId="{AA7AE453-F893-4B63-9D1A-A44CE2EDB2D3}" srcOrd="1" destOrd="0" presId="urn:microsoft.com/office/officeart/2005/8/layout/pyramid3"/>
    <dgm:cxn modelId="{ADD348DC-F3D3-4ECB-96FF-E54E99DB80D4}" type="presParOf" srcId="{A8C0851C-E686-4443-9EF2-1FD9BC0CF668}" destId="{E268F3D3-6B89-4740-898A-85A2650A9907}" srcOrd="4" destOrd="0" presId="urn:microsoft.com/office/officeart/2005/8/layout/pyramid3"/>
    <dgm:cxn modelId="{EDF39F4F-DB01-48B0-A86E-BB22817910D6}" type="presParOf" srcId="{E268F3D3-6B89-4740-898A-85A2650A9907}" destId="{1BD93724-7F6B-463D-9FE1-CB52AFF63F4C}" srcOrd="0" destOrd="0" presId="urn:microsoft.com/office/officeart/2005/8/layout/pyramid3"/>
    <dgm:cxn modelId="{53DBF094-9BB7-47F7-B3C8-870D4C4A9D10}" type="presParOf" srcId="{E268F3D3-6B89-4740-898A-85A2650A9907}" destId="{F51CA9D1-0BEA-44D2-A696-4461F34C877E}" srcOrd="1" destOrd="0" presId="urn:microsoft.com/office/officeart/2005/8/layout/pyramid3"/>
  </dgm:cxnLst>
  <dgm:bg/>
  <dgm:whole/>
  <dgm:extLst>
    <a:ext uri="http://schemas.microsoft.com/office/drawing/2008/diagram">
      <dsp:dataModelExt xmlns:dsp="http://schemas.microsoft.com/office/drawing/2008/diagram" relId="rId9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EC443B-2639-4F7F-AF79-FBE061F8B6C8}">
      <dsp:nvSpPr>
        <dsp:cNvPr id="0" name=""/>
        <dsp:cNvSpPr/>
      </dsp:nvSpPr>
      <dsp:spPr>
        <a:xfrm rot="10800000">
          <a:off x="0" y="0"/>
          <a:ext cx="4654550" cy="610616"/>
        </a:xfrm>
        <a:prstGeom prst="trapezoid">
          <a:avLst>
            <a:gd name="adj" fmla="val 76227"/>
          </a:avLst>
        </a:prstGeom>
        <a:solidFill>
          <a:schemeClr val="accent3">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GB" sz="1800" kern="1200">
              <a:latin typeface="Arial" pitchFamily="34" charset="0"/>
              <a:cs typeface="Arial" pitchFamily="34" charset="0"/>
            </a:rPr>
            <a:t>Prevention</a:t>
          </a:r>
        </a:p>
      </dsp:txBody>
      <dsp:txXfrm rot="-10800000">
        <a:off x="814546" y="0"/>
        <a:ext cx="3025457" cy="610616"/>
      </dsp:txXfrm>
    </dsp:sp>
    <dsp:sp modelId="{776A47C5-1233-428F-9546-7C1F21B3D418}">
      <dsp:nvSpPr>
        <dsp:cNvPr id="0" name=""/>
        <dsp:cNvSpPr/>
      </dsp:nvSpPr>
      <dsp:spPr>
        <a:xfrm rot="10800000">
          <a:off x="465454" y="610615"/>
          <a:ext cx="3723640" cy="610616"/>
        </a:xfrm>
        <a:prstGeom prst="trapezoid">
          <a:avLst>
            <a:gd name="adj" fmla="val 76227"/>
          </a:avLst>
        </a:prstGeom>
        <a:solidFill>
          <a:schemeClr val="accent3">
            <a:shade val="80000"/>
            <a:hueOff val="54727"/>
            <a:satOff val="-358"/>
            <a:lumOff val="613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GB" sz="1800" kern="1200">
              <a:latin typeface="Arial" pitchFamily="34" charset="0"/>
              <a:cs typeface="Arial" pitchFamily="34" charset="0"/>
            </a:rPr>
            <a:t>Preparing for re-use</a:t>
          </a:r>
        </a:p>
      </dsp:txBody>
      <dsp:txXfrm rot="-10800000">
        <a:off x="1117091" y="610615"/>
        <a:ext cx="2420366" cy="610616"/>
      </dsp:txXfrm>
    </dsp:sp>
    <dsp:sp modelId="{CA194030-D764-48EA-90CE-B970EF5F409A}">
      <dsp:nvSpPr>
        <dsp:cNvPr id="0" name=""/>
        <dsp:cNvSpPr/>
      </dsp:nvSpPr>
      <dsp:spPr>
        <a:xfrm rot="10800000">
          <a:off x="930910" y="1221232"/>
          <a:ext cx="2792730" cy="610616"/>
        </a:xfrm>
        <a:prstGeom prst="trapezoid">
          <a:avLst>
            <a:gd name="adj" fmla="val 76227"/>
          </a:avLst>
        </a:prstGeom>
        <a:solidFill>
          <a:schemeClr val="accent3">
            <a:shade val="80000"/>
            <a:hueOff val="109454"/>
            <a:satOff val="-716"/>
            <a:lumOff val="122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GB" sz="1800" kern="1200">
              <a:latin typeface="Arial" pitchFamily="34" charset="0"/>
              <a:cs typeface="Arial" pitchFamily="34" charset="0"/>
            </a:rPr>
            <a:t>Recycling</a:t>
          </a:r>
        </a:p>
      </dsp:txBody>
      <dsp:txXfrm rot="-10800000">
        <a:off x="1419637" y="1221232"/>
        <a:ext cx="1815274" cy="610616"/>
      </dsp:txXfrm>
    </dsp:sp>
    <dsp:sp modelId="{607CBDD5-B73B-4124-BC5E-45C4516DF6D8}">
      <dsp:nvSpPr>
        <dsp:cNvPr id="0" name=""/>
        <dsp:cNvSpPr/>
      </dsp:nvSpPr>
      <dsp:spPr>
        <a:xfrm rot="10800000">
          <a:off x="1396364" y="1831847"/>
          <a:ext cx="1861820" cy="610616"/>
        </a:xfrm>
        <a:prstGeom prst="trapezoid">
          <a:avLst>
            <a:gd name="adj" fmla="val 76227"/>
          </a:avLst>
        </a:prstGeom>
        <a:solidFill>
          <a:schemeClr val="accent3">
            <a:shade val="80000"/>
            <a:hueOff val="164182"/>
            <a:satOff val="-1073"/>
            <a:lumOff val="1841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GB" sz="1800" kern="1200">
              <a:latin typeface="Arial" pitchFamily="34" charset="0"/>
              <a:cs typeface="Arial" pitchFamily="34" charset="0"/>
            </a:rPr>
            <a:t>Other recovery</a:t>
          </a:r>
        </a:p>
      </dsp:txBody>
      <dsp:txXfrm rot="-10800000">
        <a:off x="1722183" y="1831847"/>
        <a:ext cx="1210183" cy="610616"/>
      </dsp:txXfrm>
    </dsp:sp>
    <dsp:sp modelId="{1BD93724-7F6B-463D-9FE1-CB52AFF63F4C}">
      <dsp:nvSpPr>
        <dsp:cNvPr id="0" name=""/>
        <dsp:cNvSpPr/>
      </dsp:nvSpPr>
      <dsp:spPr>
        <a:xfrm rot="10800000">
          <a:off x="1861820" y="2442464"/>
          <a:ext cx="930910" cy="610616"/>
        </a:xfrm>
        <a:prstGeom prst="trapezoid">
          <a:avLst>
            <a:gd name="adj" fmla="val 76227"/>
          </a:avLst>
        </a:prstGeom>
        <a:solidFill>
          <a:schemeClr val="accent3">
            <a:shade val="80000"/>
            <a:hueOff val="218909"/>
            <a:satOff val="-1431"/>
            <a:lumOff val="2455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GB" sz="1800" kern="1200">
              <a:latin typeface="Arial" pitchFamily="34" charset="0"/>
              <a:cs typeface="Arial" pitchFamily="34" charset="0"/>
            </a:rPr>
            <a:t>Disposal</a:t>
          </a:r>
        </a:p>
      </dsp:txBody>
      <dsp:txXfrm rot="-10800000">
        <a:off x="1861820" y="2442464"/>
        <a:ext cx="930910" cy="61061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Classification xmlns="eecedeb9-13b3-4e62-b003-046c92e1668a">Unclassified</Classification>
    <_Status xmlns="http://schemas.microsoft.com/sharepoint/v3/fields">Draft</_Status>
    <Applicable_x0020_Start_x0020_Date xmlns="eecedeb9-13b3-4e62-b003-046c92e1668a">2013-10-20T23:00:00+00:00</Applicable_x0020_Start_x0020_Date>
    <_x003a_ xmlns="eecedeb9-13b3-4e62-b003-046c92e1668a" xsi:nil="true"/>
    <Applicable_x0020_Duration xmlns="eecedeb9-13b3-4e62-b003-046c92e1668a">-</Applicable_x0020_Duration>
    <Publication_x0020_Date_x003a_ xmlns="eecedeb9-13b3-4e62-b003-046c92e1668a">2013-10-21T00:00:00+00:00</Publication_x0020_Date_x003a_>
    <Meeting_x0020_Date xmlns="eecedeb9-13b3-4e62-b003-046c92e1668a">2013-10-20T23:00:00+00:00</Meeting_x0020_Date>
    <Organisation xmlns="eecedeb9-13b3-4e62-b003-046c92e1668a">Choose an Organisation</Organisation>
    <Ref_x0020_No xmlns="eecedeb9-13b3-4e62-b003-046c92e1668a" xsi:nil="true"/>
    <_x003a__x003a_ xmlns="eecedeb9-13b3-4e62-b003-046c92e1668a">-Main Document</_x003a__x003a_>
    <Descriptor xmlns="eecedeb9-13b3-4e62-b003-046c92e1668a"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xternal Document" ma:contentTypeID="0x010100C13D9FA44E79D3429FC7D3479220023800089D307C734A564BA0D2A223B6129B92" ma:contentTypeVersion="11" ma:contentTypeDescription="Documents not produced by Ofgem" ma:contentTypeScope="" ma:versionID="60945396727ffaad5007dcd6fda3d5fc">
  <xsd:schema xmlns:xsd="http://www.w3.org/2001/XMLSchema" xmlns:p="http://schemas.microsoft.com/office/2006/metadata/properties" xmlns:ns2="eecedeb9-13b3-4e62-b003-046c92e1668a" xmlns:ns3="http://schemas.microsoft.com/sharepoint/v3/fields" targetNamespace="http://schemas.microsoft.com/office/2006/metadata/properties" ma:root="true" ma:fieldsID="ab9c36096251b03f4fdbf7a926b8631e" ns2:_="" ns3:_="">
    <xsd:import namespace="eecedeb9-13b3-4e62-b003-046c92e1668a"/>
    <xsd:import namespace="http://schemas.microsoft.com/sharepoint/v3/fields"/>
    <xsd:element name="properties">
      <xsd:complexType>
        <xsd:sequence>
          <xsd:element name="documentManagement">
            <xsd:complexType>
              <xsd:all>
                <xsd:element ref="ns2:Organisation" minOccurs="0"/>
                <xsd:element ref="ns3:_Status" minOccurs="0"/>
                <xsd:element ref="ns2:Ref_x0020_No" minOccurs="0"/>
                <xsd:element ref="ns2:Publication_x0020_Date_x003a_" minOccurs="0"/>
                <xsd:element ref="ns2:_x003a_" minOccurs="0"/>
                <xsd:element ref="ns2:_x003a__x003a_" minOccurs="0"/>
                <xsd:element ref="ns2:Applicable_x0020_Start_x0020_Date" minOccurs="0"/>
                <xsd:element ref="ns2:Applicable_x0020_Duration" minOccurs="0"/>
                <xsd:element ref="ns2:Meeting_x0020_Date" minOccurs="0"/>
                <xsd:element ref="ns2:Classification"/>
                <xsd:element ref="ns2:Descriptor" minOccurs="0"/>
              </xsd:all>
            </xsd:complexType>
          </xsd:element>
        </xsd:sequence>
      </xsd:complexType>
    </xsd:element>
  </xsd:schema>
  <xsd:schema xmlns:xsd="http://www.w3.org/2001/XMLSchema" xmlns:dms="http://schemas.microsoft.com/office/2006/documentManagement/types" targetNamespace="eecedeb9-13b3-4e62-b003-046c92e1668a" elementFormDefault="qualified">
    <xsd:import namespace="http://schemas.microsoft.com/office/2006/documentManagement/types"/>
    <xsd:element name="Organisation" ma:index="2"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Wales &amp; West Utilities"/>
              <xsd:enumeration value="Welsh Assembly"/>
              <xsd:enumeration value="WPD"/>
              <xsd:enumeration value="Xoserve"/>
              <xsd:enumeration value="-"/>
            </xsd:restriction>
          </xsd:simpleType>
        </xsd:union>
      </xsd:simpleType>
    </xsd:element>
    <xsd:element name="Ref_x0020_No" ma:index="5" nillable="true" ma:displayName="Ref No" ma:description="Generally the Ofgem Reference Number assigned by Comms for external publication" ma:internalName="Ref_x0020_No">
      <xsd:simpleType>
        <xsd:restriction base="dms:Text">
          <xsd:maxLength value="255"/>
        </xsd:restriction>
      </xsd:simpleType>
    </xsd:element>
    <xsd:element name="Publication_x0020_Date_x003a_" ma:index="6" nillable="true" ma:displayName="Publication Date:" ma:default="[today]" ma:description="The Publication Date" ma:format="DateOnly" ma:internalName="Publication_x0020_Date_x003A_">
      <xsd:simpleType>
        <xsd:restriction base="dms:DateTime"/>
      </xsd:simpleType>
    </xsd:element>
    <xsd:element name="_x003a_" ma:index="7" nillable="true" ma:displayName=":" ma:default=""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8"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Applicable_x0020_Start_x0020_Date" ma:index="9" nillable="true" ma:displayName="Applicable Start Date" ma:default="[today]" ma:description="The Starting Date for the work - format is DD/MM/YYYY" ma:format="DateOnly" ma:internalName="Applicable_x0020_Start_x0020_Date">
      <xsd:simpleType>
        <xsd:restriction base="dms:DateTime"/>
      </xsd:simpleType>
    </xsd:element>
    <xsd:element name="Applicable_x0020_Duration" ma:index="16" nillable="true" ma:displayName="Applicable Duration" ma:default="-" ma:description="For how long is this document applicable, from the Applicable Start Date?" ma:format="Dropdown" ma:internalName="Applicable_x0020_Duration">
      <xsd:simpleType>
        <xsd:restriction base="dms:Choice">
          <xsd:enumeration value="-"/>
          <xsd:enumeration value="Day"/>
          <xsd:enumeration value="Week"/>
          <xsd:enumeration value="Month"/>
          <xsd:enumeration value="Quarter"/>
          <xsd:enumeration value="6 Months"/>
          <xsd:enumeration value="Winter"/>
          <xsd:enumeration value="Summer"/>
          <xsd:enumeration value="1 Year"/>
          <xsd:enumeration value="2 Years"/>
          <xsd:enumeration value="3 Years"/>
          <xsd:enumeration value="5 Years"/>
          <xsd:enumeration value="6 - 10 Years"/>
          <xsd:enumeration value="Enduring"/>
        </xsd:restriction>
      </xsd:simpleType>
    </xsd:element>
    <xsd:element name="Meeting_x0020_Date" ma:index="17" nillable="true" ma:displayName="Meeting Date" ma:default="[today]" ma:description="Enter the date as DD/MM/YYYY" ma:format="DateOnly" ma:internalName="Meeting_x0020_Date">
      <xsd:simpleType>
        <xsd:restriction base="dms:DateTime"/>
      </xsd:simpleType>
    </xsd:element>
    <xsd:element name="Classification" ma:index="18" ma:displayName="Classification" ma:default="Unclassified" ma:format="Dropdown" ma:internalName="Classification">
      <xsd:simpleType>
        <xsd:restriction base="dms:Choice">
          <xsd:enumeration value="Unclassified"/>
          <xsd:enumeration value="Protect"/>
          <xsd:enumeration value="Restricted"/>
        </xsd:restriction>
      </xsd:simpleType>
    </xsd:element>
    <xsd:element name="Descriptor" ma:index="19" nillable="true" ma:displayName="Descriptor" ma:format="Dropdown" ma:internalName="Descriptor">
      <xsd:simpleType>
        <xsd:restriction base="dms:Choice">
          <xsd:enumeration value="Commercial"/>
          <xsd:enumeration value="Management"/>
          <xsd:enumeration value="Market Sensitive"/>
          <xsd:enumeration value="Staff"/>
        </xsd:restrict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Status" ma:index="4"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ma:index="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9A3AF-8E10-4A17-90E6-87FB50C3C6F0}">
  <ds:schemaRefs>
    <ds:schemaRef ds:uri="http://schemas.microsoft.com/office/2006/metadata/properties"/>
    <ds:schemaRef ds:uri="eecedeb9-13b3-4e62-b003-046c92e1668a"/>
    <ds:schemaRef ds:uri="http://schemas.microsoft.com/sharepoint/v3/fields"/>
  </ds:schemaRefs>
</ds:datastoreItem>
</file>

<file path=customXml/itemProps2.xml><?xml version="1.0" encoding="utf-8"?>
<ds:datastoreItem xmlns:ds="http://schemas.openxmlformats.org/officeDocument/2006/customXml" ds:itemID="{7856FE99-56FE-4655-8029-707A9D65A16F}">
  <ds:schemaRefs>
    <ds:schemaRef ds:uri="http://schemas.microsoft.com/office/2006/metadata/longProperties"/>
  </ds:schemaRefs>
</ds:datastoreItem>
</file>

<file path=customXml/itemProps3.xml><?xml version="1.0" encoding="utf-8"?>
<ds:datastoreItem xmlns:ds="http://schemas.openxmlformats.org/officeDocument/2006/customXml" ds:itemID="{FA8FE7C7-8679-4001-80C8-5AA8BEB066EE}">
  <ds:schemaRefs>
    <ds:schemaRef ds:uri="http://schemas.microsoft.com/sharepoint/v3/contenttype/forms"/>
  </ds:schemaRefs>
</ds:datastoreItem>
</file>

<file path=customXml/itemProps4.xml><?xml version="1.0" encoding="utf-8"?>
<ds:datastoreItem xmlns:ds="http://schemas.openxmlformats.org/officeDocument/2006/customXml" ds:itemID="{560ACB2B-AFAE-4714-A6D5-5134ED59F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edeb9-13b3-4e62-b003-046c92e1668a"/>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43EFF33A-FD48-4F8B-AB55-C48F40F5B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144</Pages>
  <Words>37028</Words>
  <Characters>211061</Characters>
  <Application>Microsoft Office Word</Application>
  <DocSecurity>0</DocSecurity>
  <Lines>1758</Lines>
  <Paragraphs>495</Paragraphs>
  <ScaleCrop>false</ScaleCrop>
  <HeadingPairs>
    <vt:vector size="2" baseType="variant">
      <vt:variant>
        <vt:lpstr>Title</vt:lpstr>
      </vt:variant>
      <vt:variant>
        <vt:i4>1</vt:i4>
      </vt:variant>
    </vt:vector>
  </HeadingPairs>
  <TitlesOfParts>
    <vt:vector size="1" baseType="lpstr">
      <vt:lpstr>Environmental Reporting Guidelines</vt:lpstr>
    </vt:vector>
  </TitlesOfParts>
  <Company>Defra</Company>
  <LinksUpToDate>false</LinksUpToDate>
  <CharactersWithSpaces>247594</CharactersWithSpaces>
  <SharedDoc>false</SharedDoc>
  <HLinks>
    <vt:vector size="1470" baseType="variant">
      <vt:variant>
        <vt:i4>7340086</vt:i4>
      </vt:variant>
      <vt:variant>
        <vt:i4>801</vt:i4>
      </vt:variant>
      <vt:variant>
        <vt:i4>0</vt:i4>
      </vt:variant>
      <vt:variant>
        <vt:i4>5</vt:i4>
      </vt:variant>
      <vt:variant>
        <vt:lpwstr>http://bbop.forest-trends.org/</vt:lpwstr>
      </vt:variant>
      <vt:variant>
        <vt:lpwstr/>
      </vt:variant>
      <vt:variant>
        <vt:i4>6815844</vt:i4>
      </vt:variant>
      <vt:variant>
        <vt:i4>798</vt:i4>
      </vt:variant>
      <vt:variant>
        <vt:i4>0</vt:i4>
      </vt:variant>
      <vt:variant>
        <vt:i4>5</vt:i4>
      </vt:variant>
      <vt:variant>
        <vt:lpwstr>http://naei.defra.gov.uk/index.php</vt:lpwstr>
      </vt:variant>
      <vt:variant>
        <vt:lpwstr/>
      </vt:variant>
      <vt:variant>
        <vt:i4>2556022</vt:i4>
      </vt:variant>
      <vt:variant>
        <vt:i4>795</vt:i4>
      </vt:variant>
      <vt:variant>
        <vt:i4>0</vt:i4>
      </vt:variant>
      <vt:variant>
        <vt:i4>5</vt:i4>
      </vt:variant>
      <vt:variant>
        <vt:lpwstr>http://uk-air.defra.gov.uk/</vt:lpwstr>
      </vt:variant>
      <vt:variant>
        <vt:lpwstr/>
      </vt:variant>
      <vt:variant>
        <vt:i4>8060988</vt:i4>
      </vt:variant>
      <vt:variant>
        <vt:i4>792</vt:i4>
      </vt:variant>
      <vt:variant>
        <vt:i4>0</vt:i4>
      </vt:variant>
      <vt:variant>
        <vt:i4>5</vt:i4>
      </vt:variant>
      <vt:variant>
        <vt:lpwstr>http://www.environment-agency.gov.uk/business/topics/permitting/32320.aspx</vt:lpwstr>
      </vt:variant>
      <vt:variant>
        <vt:lpwstr/>
      </vt:variant>
      <vt:variant>
        <vt:i4>2359417</vt:i4>
      </vt:variant>
      <vt:variant>
        <vt:i4>789</vt:i4>
      </vt:variant>
      <vt:variant>
        <vt:i4>0</vt:i4>
      </vt:variant>
      <vt:variant>
        <vt:i4>5</vt:i4>
      </vt:variant>
      <vt:variant>
        <vt:lpwstr>https://www.gov.uk/government/policies/protecting-and-enhancing-our-urban-and-natural-environment-to-improve-public-health-and-wellbeing/supporting-pages/international-european-and-national-standards-for-air-quality</vt:lpwstr>
      </vt:variant>
      <vt:variant>
        <vt:lpwstr/>
      </vt:variant>
      <vt:variant>
        <vt:i4>6619192</vt:i4>
      </vt:variant>
      <vt:variant>
        <vt:i4>786</vt:i4>
      </vt:variant>
      <vt:variant>
        <vt:i4>0</vt:i4>
      </vt:variant>
      <vt:variant>
        <vt:i4>5</vt:i4>
      </vt:variant>
      <vt:variant>
        <vt:lpwstr>http://www.opsi.gov.uk/si/si2010/pdf/uksi_20100675_en.pdf</vt:lpwstr>
      </vt:variant>
      <vt:variant>
        <vt:lpwstr/>
      </vt:variant>
      <vt:variant>
        <vt:i4>1507342</vt:i4>
      </vt:variant>
      <vt:variant>
        <vt:i4>783</vt:i4>
      </vt:variant>
      <vt:variant>
        <vt:i4>0</vt:i4>
      </vt:variant>
      <vt:variant>
        <vt:i4>5</vt:i4>
      </vt:variant>
      <vt:variant>
        <vt:lpwstr>http://www.cefas.defra.gov.uk/industry-information/offshore-chemical-notification-scheme.aspx</vt:lpwstr>
      </vt:variant>
      <vt:variant>
        <vt:lpwstr/>
      </vt:variant>
      <vt:variant>
        <vt:i4>5832745</vt:i4>
      </vt:variant>
      <vt:variant>
        <vt:i4>780</vt:i4>
      </vt:variant>
      <vt:variant>
        <vt:i4>0</vt:i4>
      </vt:variant>
      <vt:variant>
        <vt:i4>5</vt:i4>
      </vt:variant>
      <vt:variant>
        <vt:lpwstr>http://www.ospar.org/documents/DBASE/DECRECS/Agreements/02-06e_Common interpretation.doc</vt:lpwstr>
      </vt:variant>
      <vt:variant>
        <vt:lpwstr/>
      </vt:variant>
      <vt:variant>
        <vt:i4>2162737</vt:i4>
      </vt:variant>
      <vt:variant>
        <vt:i4>777</vt:i4>
      </vt:variant>
      <vt:variant>
        <vt:i4>0</vt:i4>
      </vt:variant>
      <vt:variant>
        <vt:i4>5</vt:i4>
      </vt:variant>
      <vt:variant>
        <vt:lpwstr>http://www.ospar.org/documents/DBASE/DECRECS/Decisions/od00-02e.doc</vt:lpwstr>
      </vt:variant>
      <vt:variant>
        <vt:lpwstr/>
      </vt:variant>
      <vt:variant>
        <vt:i4>5439523</vt:i4>
      </vt:variant>
      <vt:variant>
        <vt:i4>774</vt:i4>
      </vt:variant>
      <vt:variant>
        <vt:i4>0</vt:i4>
      </vt:variant>
      <vt:variant>
        <vt:i4>5</vt:i4>
      </vt:variant>
      <vt:variant>
        <vt:lpwstr>http://www.environment-agency.gov.uk/static/documents/Business/eprtr_guidance_doc_1426519.pdf</vt:lpwstr>
      </vt:variant>
      <vt:variant>
        <vt:lpwstr/>
      </vt:variant>
      <vt:variant>
        <vt:i4>1179662</vt:i4>
      </vt:variant>
      <vt:variant>
        <vt:i4>771</vt:i4>
      </vt:variant>
      <vt:variant>
        <vt:i4>0</vt:i4>
      </vt:variant>
      <vt:variant>
        <vt:i4>5</vt:i4>
      </vt:variant>
      <vt:variant>
        <vt:lpwstr>http://prtr.defra.gov.uk/</vt:lpwstr>
      </vt:variant>
      <vt:variant>
        <vt:lpwstr/>
      </vt:variant>
      <vt:variant>
        <vt:i4>6750325</vt:i4>
      </vt:variant>
      <vt:variant>
        <vt:i4>768</vt:i4>
      </vt:variant>
      <vt:variant>
        <vt:i4>0</vt:i4>
      </vt:variant>
      <vt:variant>
        <vt:i4>5</vt:i4>
      </vt:variant>
      <vt:variant>
        <vt:lpwstr>http://www.defra.gov.uk/environment/quality/industrial/eu-international/industrial-emissions-directive/</vt:lpwstr>
      </vt:variant>
      <vt:variant>
        <vt:lpwstr/>
      </vt:variant>
      <vt:variant>
        <vt:i4>786468</vt:i4>
      </vt:variant>
      <vt:variant>
        <vt:i4>765</vt:i4>
      </vt:variant>
      <vt:variant>
        <vt:i4>0</vt:i4>
      </vt:variant>
      <vt:variant>
        <vt:i4>5</vt:i4>
      </vt:variant>
      <vt:variant>
        <vt:lpwstr>http://naei.defra.gov.uk/data_warehouse.php</vt:lpwstr>
      </vt:variant>
      <vt:variant>
        <vt:lpwstr/>
      </vt:variant>
      <vt:variant>
        <vt:i4>262237</vt:i4>
      </vt:variant>
      <vt:variant>
        <vt:i4>762</vt:i4>
      </vt:variant>
      <vt:variant>
        <vt:i4>0</vt:i4>
      </vt:variant>
      <vt:variant>
        <vt:i4>5</vt:i4>
      </vt:variant>
      <vt:variant>
        <vt:lpwstr>http://www.forestry.gov.uk/pdf/FCPH001.pdf/$FILE/FCPH001.pdf</vt:lpwstr>
      </vt:variant>
      <vt:variant>
        <vt:lpwstr/>
      </vt:variant>
      <vt:variant>
        <vt:i4>2687095</vt:i4>
      </vt:variant>
      <vt:variant>
        <vt:i4>759</vt:i4>
      </vt:variant>
      <vt:variant>
        <vt:i4>0</vt:i4>
      </vt:variant>
      <vt:variant>
        <vt:i4>5</vt:i4>
      </vt:variant>
      <vt:variant>
        <vt:lpwstr>http://www.forestry.gov.uk/ukfs</vt:lpwstr>
      </vt:variant>
      <vt:variant>
        <vt:lpwstr/>
      </vt:variant>
      <vt:variant>
        <vt:i4>3211320</vt:i4>
      </vt:variant>
      <vt:variant>
        <vt:i4>756</vt:i4>
      </vt:variant>
      <vt:variant>
        <vt:i4>0</vt:i4>
      </vt:variant>
      <vt:variant>
        <vt:i4>5</vt:i4>
      </vt:variant>
      <vt:variant>
        <vt:lpwstr>http://marinemanagement.org.uk/licensing/documents/guidance/08.pdf</vt:lpwstr>
      </vt:variant>
      <vt:variant>
        <vt:lpwstr/>
      </vt:variant>
      <vt:variant>
        <vt:i4>2359344</vt:i4>
      </vt:variant>
      <vt:variant>
        <vt:i4>753</vt:i4>
      </vt:variant>
      <vt:variant>
        <vt:i4>0</vt:i4>
      </vt:variant>
      <vt:variant>
        <vt:i4>5</vt:i4>
      </vt:variant>
      <vt:variant>
        <vt:lpwstr>http://publications.environment-agency.gov.uk/pdf/GEHO0709BQGI-e-e.pdf</vt:lpwstr>
      </vt:variant>
      <vt:variant>
        <vt:lpwstr/>
      </vt:variant>
      <vt:variant>
        <vt:i4>4325378</vt:i4>
      </vt:variant>
      <vt:variant>
        <vt:i4>750</vt:i4>
      </vt:variant>
      <vt:variant>
        <vt:i4>0</vt:i4>
      </vt:variant>
      <vt:variant>
        <vt:i4>5</vt:i4>
      </vt:variant>
      <vt:variant>
        <vt:lpwstr>http://www.environment-agency.gov.uk/business/topics/waste/32180.aspx</vt:lpwstr>
      </vt:variant>
      <vt:variant>
        <vt:lpwstr/>
      </vt:variant>
      <vt:variant>
        <vt:i4>4653066</vt:i4>
      </vt:variant>
      <vt:variant>
        <vt:i4>747</vt:i4>
      </vt:variant>
      <vt:variant>
        <vt:i4>0</vt:i4>
      </vt:variant>
      <vt:variant>
        <vt:i4>5</vt:i4>
      </vt:variant>
      <vt:variant>
        <vt:lpwstr>http://www.environment-agency.gov.uk/business/topics/waste/32206.aspx</vt:lpwstr>
      </vt:variant>
      <vt:variant>
        <vt:lpwstr/>
      </vt:variant>
      <vt:variant>
        <vt:i4>7077904</vt:i4>
      </vt:variant>
      <vt:variant>
        <vt:i4>744</vt:i4>
      </vt:variant>
      <vt:variant>
        <vt:i4>0</vt:i4>
      </vt:variant>
      <vt:variant>
        <vt:i4>5</vt:i4>
      </vt:variant>
      <vt:variant>
        <vt:lpwstr>https://www.gov.uk/government/uploads/system/uploads/attachment_data/file/69403/pb13530-waste-hierarchy-guidance.pdf</vt:lpwstr>
      </vt:variant>
      <vt:variant>
        <vt:lpwstr/>
      </vt:variant>
      <vt:variant>
        <vt:i4>8192082</vt:i4>
      </vt:variant>
      <vt:variant>
        <vt:i4>741</vt:i4>
      </vt:variant>
      <vt:variant>
        <vt:i4>0</vt:i4>
      </vt:variant>
      <vt:variant>
        <vt:i4>5</vt:i4>
      </vt:variant>
      <vt:variant>
        <vt:lpwstr>https://www.gov.uk/government/uploads/system/uploads/attachment_data/file/69590/pb13813-waste-legal-def-guide.pdf</vt:lpwstr>
      </vt:variant>
      <vt:variant>
        <vt:lpwstr/>
      </vt:variant>
      <vt:variant>
        <vt:i4>8126579</vt:i4>
      </vt:variant>
      <vt:variant>
        <vt:i4>738</vt:i4>
      </vt:variant>
      <vt:variant>
        <vt:i4>0</vt:i4>
      </vt:variant>
      <vt:variant>
        <vt:i4>5</vt:i4>
      </vt:variant>
      <vt:variant>
        <vt:lpwstr>http://www.ceres.org/issues/water/aqua-gauge/downloads/aqua-gauge-executive-summary</vt:lpwstr>
      </vt:variant>
      <vt:variant>
        <vt:lpwstr/>
      </vt:variant>
      <vt:variant>
        <vt:i4>6684774</vt:i4>
      </vt:variant>
      <vt:variant>
        <vt:i4>735</vt:i4>
      </vt:variant>
      <vt:variant>
        <vt:i4>0</vt:i4>
      </vt:variant>
      <vt:variant>
        <vt:i4>5</vt:i4>
      </vt:variant>
      <vt:variant>
        <vt:lpwstr>http://www.gemi.org/water/overview.htm</vt:lpwstr>
      </vt:variant>
      <vt:variant>
        <vt:lpwstr/>
      </vt:variant>
      <vt:variant>
        <vt:i4>3211325</vt:i4>
      </vt:variant>
      <vt:variant>
        <vt:i4>732</vt:i4>
      </vt:variant>
      <vt:variant>
        <vt:i4>0</vt:i4>
      </vt:variant>
      <vt:variant>
        <vt:i4>5</vt:i4>
      </vt:variant>
      <vt:variant>
        <vt:lpwstr>http://www.wbcsd.org/web/watertool.htm</vt:lpwstr>
      </vt:variant>
      <vt:variant>
        <vt:lpwstr/>
      </vt:variant>
      <vt:variant>
        <vt:i4>1835035</vt:i4>
      </vt:variant>
      <vt:variant>
        <vt:i4>729</vt:i4>
      </vt:variant>
      <vt:variant>
        <vt:i4>0</vt:i4>
      </vt:variant>
      <vt:variant>
        <vt:i4>5</vt:i4>
      </vt:variant>
      <vt:variant>
        <vt:lpwstr>https://www.globalreporting.org/resourcelibrary/G3.1-Environment-Indicator-Protocols.pdf</vt:lpwstr>
      </vt:variant>
      <vt:variant>
        <vt:lpwstr/>
      </vt:variant>
      <vt:variant>
        <vt:i4>3604532</vt:i4>
      </vt:variant>
      <vt:variant>
        <vt:i4>726</vt:i4>
      </vt:variant>
      <vt:variant>
        <vt:i4>0</vt:i4>
      </vt:variant>
      <vt:variant>
        <vt:i4>5</vt:i4>
      </vt:variant>
      <vt:variant>
        <vt:lpwstr>https://www.cdproject.net/water</vt:lpwstr>
      </vt:variant>
      <vt:variant>
        <vt:lpwstr/>
      </vt:variant>
      <vt:variant>
        <vt:i4>1441830</vt:i4>
      </vt:variant>
      <vt:variant>
        <vt:i4>723</vt:i4>
      </vt:variant>
      <vt:variant>
        <vt:i4>0</vt:i4>
      </vt:variant>
      <vt:variant>
        <vt:i4>5</vt:i4>
      </vt:variant>
      <vt:variant>
        <vt:lpwstr/>
      </vt:variant>
      <vt:variant>
        <vt:lpwstr>Indicators_supply_chain_risks</vt:lpwstr>
      </vt:variant>
      <vt:variant>
        <vt:i4>2359343</vt:i4>
      </vt:variant>
      <vt:variant>
        <vt:i4>720</vt:i4>
      </vt:variant>
      <vt:variant>
        <vt:i4>0</vt:i4>
      </vt:variant>
      <vt:variant>
        <vt:i4>5</vt:i4>
      </vt:variant>
      <vt:variant>
        <vt:lpwstr>http://www.wrap.org.uk/</vt:lpwstr>
      </vt:variant>
      <vt:variant>
        <vt:lpwstr/>
      </vt:variant>
      <vt:variant>
        <vt:i4>3539047</vt:i4>
      </vt:variant>
      <vt:variant>
        <vt:i4>717</vt:i4>
      </vt:variant>
      <vt:variant>
        <vt:i4>0</vt:i4>
      </vt:variant>
      <vt:variant>
        <vt:i4>5</vt:i4>
      </vt:variant>
      <vt:variant>
        <vt:lpwstr>http://www.forestry.gov.uk/forestry/infd-863h7a</vt:lpwstr>
      </vt:variant>
      <vt:variant>
        <vt:lpwstr/>
      </vt:variant>
      <vt:variant>
        <vt:i4>917591</vt:i4>
      </vt:variant>
      <vt:variant>
        <vt:i4>714</vt:i4>
      </vt:variant>
      <vt:variant>
        <vt:i4>0</vt:i4>
      </vt:variant>
      <vt:variant>
        <vt:i4>5</vt:i4>
      </vt:variant>
      <vt:variant>
        <vt:lpwstr>http://cdm.unfccc.int/Projects/XX/XX/view</vt:lpwstr>
      </vt:variant>
      <vt:variant>
        <vt:lpwstr/>
      </vt:variant>
      <vt:variant>
        <vt:i4>8061006</vt:i4>
      </vt:variant>
      <vt:variant>
        <vt:i4>708</vt:i4>
      </vt:variant>
      <vt:variant>
        <vt:i4>0</vt:i4>
      </vt:variant>
      <vt:variant>
        <vt:i4>5</vt:i4>
      </vt:variant>
      <vt:variant>
        <vt:lpwstr/>
      </vt:variant>
      <vt:variant>
        <vt:lpwstr>_Determine_which_emissions</vt:lpwstr>
      </vt:variant>
      <vt:variant>
        <vt:i4>1376351</vt:i4>
      </vt:variant>
      <vt:variant>
        <vt:i4>705</vt:i4>
      </vt:variant>
      <vt:variant>
        <vt:i4>0</vt:i4>
      </vt:variant>
      <vt:variant>
        <vt:i4>5</vt:i4>
      </vt:variant>
      <vt:variant>
        <vt:lpwstr>http://www.censa.org.uk/</vt:lpwstr>
      </vt:variant>
      <vt:variant>
        <vt:lpwstr/>
      </vt:variant>
      <vt:variant>
        <vt:i4>5046315</vt:i4>
      </vt:variant>
      <vt:variant>
        <vt:i4>702</vt:i4>
      </vt:variant>
      <vt:variant>
        <vt:i4>0</vt:i4>
      </vt:variant>
      <vt:variant>
        <vt:i4>5</vt:i4>
      </vt:variant>
      <vt:variant>
        <vt:lpwstr>mailto:Enviro.Statistics@defra.gsi.gov.uk</vt:lpwstr>
      </vt:variant>
      <vt:variant>
        <vt:lpwstr/>
      </vt:variant>
      <vt:variant>
        <vt:i4>4128884</vt:i4>
      </vt:variant>
      <vt:variant>
        <vt:i4>699</vt:i4>
      </vt:variant>
      <vt:variant>
        <vt:i4>0</vt:i4>
      </vt:variant>
      <vt:variant>
        <vt:i4>5</vt:i4>
      </vt:variant>
      <vt:variant>
        <vt:lpwstr>http://www.ons.gov.uk/ons/guide-method/classifications/archived-standard-classifications/uk-standard-industrial-classification-1992--sic92-/index.html</vt:lpwstr>
      </vt:variant>
      <vt:variant>
        <vt:lpwstr/>
      </vt:variant>
      <vt:variant>
        <vt:i4>5701750</vt:i4>
      </vt:variant>
      <vt:variant>
        <vt:i4>696</vt:i4>
      </vt:variant>
      <vt:variant>
        <vt:i4>0</vt:i4>
      </vt:variant>
      <vt:variant>
        <vt:i4>5</vt:i4>
      </vt:variant>
      <vt:variant>
        <vt:lpwstr/>
      </vt:variant>
      <vt:variant>
        <vt:lpwstr>_More_on_Scope</vt:lpwstr>
      </vt:variant>
      <vt:variant>
        <vt:i4>983111</vt:i4>
      </vt:variant>
      <vt:variant>
        <vt:i4>693</vt:i4>
      </vt:variant>
      <vt:variant>
        <vt:i4>0</vt:i4>
      </vt:variant>
      <vt:variant>
        <vt:i4>5</vt:i4>
      </vt:variant>
      <vt:variant>
        <vt:lpwstr>https://www.gov.uk/measuring-and-reporting-environmental-impacts-guidance-for-businesses</vt:lpwstr>
      </vt:variant>
      <vt:variant>
        <vt:lpwstr/>
      </vt:variant>
      <vt:variant>
        <vt:i4>7929970</vt:i4>
      </vt:variant>
      <vt:variant>
        <vt:i4>690</vt:i4>
      </vt:variant>
      <vt:variant>
        <vt:i4>0</vt:i4>
      </vt:variant>
      <vt:variant>
        <vt:i4>5</vt:i4>
      </vt:variant>
      <vt:variant>
        <vt:lpwstr>http://www.epa.gov/stateply/documents/resources/mfgrfg.pdf</vt:lpwstr>
      </vt:variant>
      <vt:variant>
        <vt:lpwstr/>
      </vt:variant>
      <vt:variant>
        <vt:i4>3604528</vt:i4>
      </vt:variant>
      <vt:variant>
        <vt:i4>687</vt:i4>
      </vt:variant>
      <vt:variant>
        <vt:i4>0</vt:i4>
      </vt:variant>
      <vt:variant>
        <vt:i4>5</vt:i4>
      </vt:variant>
      <vt:variant>
        <vt:lpwstr>http://www.ipcc-nggip.iges.or.jp/public/2006gl/</vt:lpwstr>
      </vt:variant>
      <vt:variant>
        <vt:lpwstr/>
      </vt:variant>
      <vt:variant>
        <vt:i4>8061007</vt:i4>
      </vt:variant>
      <vt:variant>
        <vt:i4>684</vt:i4>
      </vt:variant>
      <vt:variant>
        <vt:i4>0</vt:i4>
      </vt:variant>
      <vt:variant>
        <vt:i4>5</vt:i4>
      </vt:variant>
      <vt:variant>
        <vt:lpwstr>http://www.ghgprotocol.org/files/ghgp/tools/Appendix_F_Leased_Assets.pdf</vt:lpwstr>
      </vt:variant>
      <vt:variant>
        <vt:lpwstr/>
      </vt:variant>
      <vt:variant>
        <vt:i4>6225996</vt:i4>
      </vt:variant>
      <vt:variant>
        <vt:i4>681</vt:i4>
      </vt:variant>
      <vt:variant>
        <vt:i4>0</vt:i4>
      </vt:variant>
      <vt:variant>
        <vt:i4>5</vt:i4>
      </vt:variant>
      <vt:variant>
        <vt:lpwstr>http://www.cdsb.net/</vt:lpwstr>
      </vt:variant>
      <vt:variant>
        <vt:lpwstr/>
      </vt:variant>
      <vt:variant>
        <vt:i4>5636129</vt:i4>
      </vt:variant>
      <vt:variant>
        <vt:i4>678</vt:i4>
      </vt:variant>
      <vt:variant>
        <vt:i4>0</vt:i4>
      </vt:variant>
      <vt:variant>
        <vt:i4>5</vt:i4>
      </vt:variant>
      <vt:variant>
        <vt:lpwstr/>
      </vt:variant>
      <vt:variant>
        <vt:lpwstr>_Annex_G:_Emission</vt:lpwstr>
      </vt:variant>
      <vt:variant>
        <vt:i4>1179676</vt:i4>
      </vt:variant>
      <vt:variant>
        <vt:i4>675</vt:i4>
      </vt:variant>
      <vt:variant>
        <vt:i4>0</vt:i4>
      </vt:variant>
      <vt:variant>
        <vt:i4>5</vt:i4>
      </vt:variant>
      <vt:variant>
        <vt:lpwstr/>
      </vt:variant>
      <vt:variant>
        <vt:lpwstr>Annex_M_Biodiversity</vt:lpwstr>
      </vt:variant>
      <vt:variant>
        <vt:i4>6815797</vt:i4>
      </vt:variant>
      <vt:variant>
        <vt:i4>672</vt:i4>
      </vt:variant>
      <vt:variant>
        <vt:i4>0</vt:i4>
      </vt:variant>
      <vt:variant>
        <vt:i4>5</vt:i4>
      </vt:variant>
      <vt:variant>
        <vt:lpwstr/>
      </vt:variant>
      <vt:variant>
        <vt:lpwstr>Chapter_5_Waste</vt:lpwstr>
      </vt:variant>
      <vt:variant>
        <vt:i4>2228228</vt:i4>
      </vt:variant>
      <vt:variant>
        <vt:i4>669</vt:i4>
      </vt:variant>
      <vt:variant>
        <vt:i4>0</vt:i4>
      </vt:variant>
      <vt:variant>
        <vt:i4>5</vt:i4>
      </vt:variant>
      <vt:variant>
        <vt:lpwstr/>
      </vt:variant>
      <vt:variant>
        <vt:lpwstr>Chapter_6</vt:lpwstr>
      </vt:variant>
      <vt:variant>
        <vt:i4>1507342</vt:i4>
      </vt:variant>
      <vt:variant>
        <vt:i4>666</vt:i4>
      </vt:variant>
      <vt:variant>
        <vt:i4>0</vt:i4>
      </vt:variant>
      <vt:variant>
        <vt:i4>5</vt:i4>
      </vt:variant>
      <vt:variant>
        <vt:lpwstr>http://www.cefas.defra.gov.uk/industry-information/offshore-chemical-notification-scheme.aspx</vt:lpwstr>
      </vt:variant>
      <vt:variant>
        <vt:lpwstr/>
      </vt:variant>
      <vt:variant>
        <vt:i4>2228228</vt:i4>
      </vt:variant>
      <vt:variant>
        <vt:i4>663</vt:i4>
      </vt:variant>
      <vt:variant>
        <vt:i4>0</vt:i4>
      </vt:variant>
      <vt:variant>
        <vt:i4>5</vt:i4>
      </vt:variant>
      <vt:variant>
        <vt:lpwstr/>
      </vt:variant>
      <vt:variant>
        <vt:lpwstr>Chapter_6</vt:lpwstr>
      </vt:variant>
      <vt:variant>
        <vt:i4>7995508</vt:i4>
      </vt:variant>
      <vt:variant>
        <vt:i4>660</vt:i4>
      </vt:variant>
      <vt:variant>
        <vt:i4>0</vt:i4>
      </vt:variant>
      <vt:variant>
        <vt:i4>5</vt:i4>
      </vt:variant>
      <vt:variant>
        <vt:lpwstr>http://www.environment-agency.gov.uk/cy/busnes/pynciau/llygredd/36750.aspx</vt:lpwstr>
      </vt:variant>
      <vt:variant>
        <vt:lpwstr/>
      </vt:variant>
      <vt:variant>
        <vt:i4>196658</vt:i4>
      </vt:variant>
      <vt:variant>
        <vt:i4>657</vt:i4>
      </vt:variant>
      <vt:variant>
        <vt:i4>0</vt:i4>
      </vt:variant>
      <vt:variant>
        <vt:i4>5</vt:i4>
      </vt:variant>
      <vt:variant>
        <vt:lpwstr/>
      </vt:variant>
      <vt:variant>
        <vt:lpwstr>Chapter_4_1_Environmental_Management_Sys</vt:lpwstr>
      </vt:variant>
      <vt:variant>
        <vt:i4>6815797</vt:i4>
      </vt:variant>
      <vt:variant>
        <vt:i4>654</vt:i4>
      </vt:variant>
      <vt:variant>
        <vt:i4>0</vt:i4>
      </vt:variant>
      <vt:variant>
        <vt:i4>5</vt:i4>
      </vt:variant>
      <vt:variant>
        <vt:lpwstr/>
      </vt:variant>
      <vt:variant>
        <vt:lpwstr>Chapter_5_Waste</vt:lpwstr>
      </vt:variant>
      <vt:variant>
        <vt:i4>2228228</vt:i4>
      </vt:variant>
      <vt:variant>
        <vt:i4>651</vt:i4>
      </vt:variant>
      <vt:variant>
        <vt:i4>0</vt:i4>
      </vt:variant>
      <vt:variant>
        <vt:i4>5</vt:i4>
      </vt:variant>
      <vt:variant>
        <vt:lpwstr/>
      </vt:variant>
      <vt:variant>
        <vt:lpwstr>Chapter_6</vt:lpwstr>
      </vt:variant>
      <vt:variant>
        <vt:i4>2228228</vt:i4>
      </vt:variant>
      <vt:variant>
        <vt:i4>648</vt:i4>
      </vt:variant>
      <vt:variant>
        <vt:i4>0</vt:i4>
      </vt:variant>
      <vt:variant>
        <vt:i4>5</vt:i4>
      </vt:variant>
      <vt:variant>
        <vt:lpwstr/>
      </vt:variant>
      <vt:variant>
        <vt:lpwstr>Chapter_4</vt:lpwstr>
      </vt:variant>
      <vt:variant>
        <vt:i4>539230242</vt:i4>
      </vt:variant>
      <vt:variant>
        <vt:i4>645</vt:i4>
      </vt:variant>
      <vt:variant>
        <vt:i4>0</vt:i4>
      </vt:variant>
      <vt:variant>
        <vt:i4>5</vt:i4>
      </vt:variant>
      <vt:variant>
        <vt:lpwstr/>
      </vt:variant>
      <vt:variant>
        <vt:lpwstr>_Chapter_3_–</vt:lpwstr>
      </vt:variant>
      <vt:variant>
        <vt:i4>7536715</vt:i4>
      </vt:variant>
      <vt:variant>
        <vt:i4>642</vt:i4>
      </vt:variant>
      <vt:variant>
        <vt:i4>0</vt:i4>
      </vt:variant>
      <vt:variant>
        <vt:i4>5</vt:i4>
      </vt:variant>
      <vt:variant>
        <vt:lpwstr/>
      </vt:variant>
      <vt:variant>
        <vt:lpwstr>_Chapter_2:_Guidance</vt:lpwstr>
      </vt:variant>
      <vt:variant>
        <vt:i4>3407913</vt:i4>
      </vt:variant>
      <vt:variant>
        <vt:i4>639</vt:i4>
      </vt:variant>
      <vt:variant>
        <vt:i4>0</vt:i4>
      </vt:variant>
      <vt:variant>
        <vt:i4>5</vt:i4>
      </vt:variant>
      <vt:variant>
        <vt:lpwstr>http://www.cpet.org.uk/</vt:lpwstr>
      </vt:variant>
      <vt:variant>
        <vt:lpwstr/>
      </vt:variant>
      <vt:variant>
        <vt:i4>1114122</vt:i4>
      </vt:variant>
      <vt:variant>
        <vt:i4>636</vt:i4>
      </vt:variant>
      <vt:variant>
        <vt:i4>0</vt:i4>
      </vt:variant>
      <vt:variant>
        <vt:i4>5</vt:i4>
      </vt:variant>
      <vt:variant>
        <vt:lpwstr>http://www.bis.gov.uk/files/file46535.pdf</vt:lpwstr>
      </vt:variant>
      <vt:variant>
        <vt:lpwstr/>
      </vt:variant>
      <vt:variant>
        <vt:i4>6357089</vt:i4>
      </vt:variant>
      <vt:variant>
        <vt:i4>633</vt:i4>
      </vt:variant>
      <vt:variant>
        <vt:i4>0</vt:i4>
      </vt:variant>
      <vt:variant>
        <vt:i4>5</vt:i4>
      </vt:variant>
      <vt:variant>
        <vt:lpwstr>http://www.ipieca.org/focus-area/reporting</vt:lpwstr>
      </vt:variant>
      <vt:variant>
        <vt:lpwstr/>
      </vt:variant>
      <vt:variant>
        <vt:i4>6488135</vt:i4>
      </vt:variant>
      <vt:variant>
        <vt:i4>630</vt:i4>
      </vt:variant>
      <vt:variant>
        <vt:i4>0</vt:i4>
      </vt:variant>
      <vt:variant>
        <vt:i4>5</vt:i4>
      </vt:variant>
      <vt:variant>
        <vt:lpwstr/>
      </vt:variant>
      <vt:variant>
        <vt:lpwstr>_Chapter_8:_</vt:lpwstr>
      </vt:variant>
      <vt:variant>
        <vt:i4>2555955</vt:i4>
      </vt:variant>
      <vt:variant>
        <vt:i4>627</vt:i4>
      </vt:variant>
      <vt:variant>
        <vt:i4>0</vt:i4>
      </vt:variant>
      <vt:variant>
        <vt:i4>5</vt:i4>
      </vt:variant>
      <vt:variant>
        <vt:lpwstr>http://www.rethinkwasteni.org/</vt:lpwstr>
      </vt:variant>
      <vt:variant>
        <vt:lpwstr/>
      </vt:variant>
      <vt:variant>
        <vt:i4>131144</vt:i4>
      </vt:variant>
      <vt:variant>
        <vt:i4>624</vt:i4>
      </vt:variant>
      <vt:variant>
        <vt:i4>0</vt:i4>
      </vt:variant>
      <vt:variant>
        <vt:i4>5</vt:i4>
      </vt:variant>
      <vt:variant>
        <vt:lpwstr>http://www.zerowastescotland.org.uk/</vt:lpwstr>
      </vt:variant>
      <vt:variant>
        <vt:lpwstr/>
      </vt:variant>
      <vt:variant>
        <vt:i4>3801210</vt:i4>
      </vt:variant>
      <vt:variant>
        <vt:i4>621</vt:i4>
      </vt:variant>
      <vt:variant>
        <vt:i4>0</vt:i4>
      </vt:variant>
      <vt:variant>
        <vt:i4>5</vt:i4>
      </vt:variant>
      <vt:variant>
        <vt:lpwstr>http://www.wrap.org.uk/business/index.html</vt:lpwstr>
      </vt:variant>
      <vt:variant>
        <vt:lpwstr/>
      </vt:variant>
      <vt:variant>
        <vt:i4>5701685</vt:i4>
      </vt:variant>
      <vt:variant>
        <vt:i4>618</vt:i4>
      </vt:variant>
      <vt:variant>
        <vt:i4>0</vt:i4>
      </vt:variant>
      <vt:variant>
        <vt:i4>5</vt:i4>
      </vt:variant>
      <vt:variant>
        <vt:lpwstr/>
      </vt:variant>
      <vt:variant>
        <vt:lpwstr>_Annex_J:_Waste</vt:lpwstr>
      </vt:variant>
      <vt:variant>
        <vt:i4>7143495</vt:i4>
      </vt:variant>
      <vt:variant>
        <vt:i4>615</vt:i4>
      </vt:variant>
      <vt:variant>
        <vt:i4>0</vt:i4>
      </vt:variant>
      <vt:variant>
        <vt:i4>5</vt:i4>
      </vt:variant>
      <vt:variant>
        <vt:lpwstr/>
      </vt:variant>
      <vt:variant>
        <vt:lpwstr>_Chapter_6:_</vt:lpwstr>
      </vt:variant>
      <vt:variant>
        <vt:i4>7012401</vt:i4>
      </vt:variant>
      <vt:variant>
        <vt:i4>612</vt:i4>
      </vt:variant>
      <vt:variant>
        <vt:i4>0</vt:i4>
      </vt:variant>
      <vt:variant>
        <vt:i4>5</vt:i4>
      </vt:variant>
      <vt:variant>
        <vt:lpwstr>http://envirowise.wrap.org.uk/uk/Topics-and-Issues/Eco-Design.html</vt:lpwstr>
      </vt:variant>
      <vt:variant>
        <vt:lpwstr/>
      </vt:variant>
      <vt:variant>
        <vt:i4>458785</vt:i4>
      </vt:variant>
      <vt:variant>
        <vt:i4>609</vt:i4>
      </vt:variant>
      <vt:variant>
        <vt:i4>0</vt:i4>
      </vt:variant>
      <vt:variant>
        <vt:i4>5</vt:i4>
      </vt:variant>
      <vt:variant>
        <vt:lpwstr/>
      </vt:variant>
      <vt:variant>
        <vt:lpwstr>Action_i_intensity_ratios</vt:lpwstr>
      </vt:variant>
      <vt:variant>
        <vt:i4>2359343</vt:i4>
      </vt:variant>
      <vt:variant>
        <vt:i4>606</vt:i4>
      </vt:variant>
      <vt:variant>
        <vt:i4>0</vt:i4>
      </vt:variant>
      <vt:variant>
        <vt:i4>5</vt:i4>
      </vt:variant>
      <vt:variant>
        <vt:lpwstr>http://www.wrap.org.uk/</vt:lpwstr>
      </vt:variant>
      <vt:variant>
        <vt:lpwstr/>
      </vt:variant>
      <vt:variant>
        <vt:i4>7340152</vt:i4>
      </vt:variant>
      <vt:variant>
        <vt:i4>603</vt:i4>
      </vt:variant>
      <vt:variant>
        <vt:i4>0</vt:i4>
      </vt:variant>
      <vt:variant>
        <vt:i4>5</vt:i4>
      </vt:variant>
      <vt:variant>
        <vt:lpwstr/>
      </vt:variant>
      <vt:variant>
        <vt:lpwstr>_Purchased_Electricity</vt:lpwstr>
      </vt:variant>
      <vt:variant>
        <vt:i4>5636129</vt:i4>
      </vt:variant>
      <vt:variant>
        <vt:i4>600</vt:i4>
      </vt:variant>
      <vt:variant>
        <vt:i4>0</vt:i4>
      </vt:variant>
      <vt:variant>
        <vt:i4>5</vt:i4>
      </vt:variant>
      <vt:variant>
        <vt:lpwstr/>
      </vt:variant>
      <vt:variant>
        <vt:lpwstr>_Annex_G:_Emission</vt:lpwstr>
      </vt:variant>
      <vt:variant>
        <vt:i4>4325419</vt:i4>
      </vt:variant>
      <vt:variant>
        <vt:i4>597</vt:i4>
      </vt:variant>
      <vt:variant>
        <vt:i4>0</vt:i4>
      </vt:variant>
      <vt:variant>
        <vt:i4>5</vt:i4>
      </vt:variant>
      <vt:variant>
        <vt:lpwstr/>
      </vt:variant>
      <vt:variant>
        <vt:lpwstr>_Annex_F:_Intensity</vt:lpwstr>
      </vt:variant>
      <vt:variant>
        <vt:i4>3604528</vt:i4>
      </vt:variant>
      <vt:variant>
        <vt:i4>591</vt:i4>
      </vt:variant>
      <vt:variant>
        <vt:i4>0</vt:i4>
      </vt:variant>
      <vt:variant>
        <vt:i4>5</vt:i4>
      </vt:variant>
      <vt:variant>
        <vt:lpwstr>http://www.ipcc-nggip.iges.or.jp/public/2006gl/</vt:lpwstr>
      </vt:variant>
      <vt:variant>
        <vt:lpwstr/>
      </vt:variant>
      <vt:variant>
        <vt:i4>983111</vt:i4>
      </vt:variant>
      <vt:variant>
        <vt:i4>585</vt:i4>
      </vt:variant>
      <vt:variant>
        <vt:i4>0</vt:i4>
      </vt:variant>
      <vt:variant>
        <vt:i4>5</vt:i4>
      </vt:variant>
      <vt:variant>
        <vt:lpwstr>https://www.gov.uk/measuring-and-reporting-environmental-impacts-guidance-for-businesses</vt:lpwstr>
      </vt:variant>
      <vt:variant>
        <vt:lpwstr/>
      </vt:variant>
      <vt:variant>
        <vt:i4>3211358</vt:i4>
      </vt:variant>
      <vt:variant>
        <vt:i4>582</vt:i4>
      </vt:variant>
      <vt:variant>
        <vt:i4>0</vt:i4>
      </vt:variant>
      <vt:variant>
        <vt:i4>5</vt:i4>
      </vt:variant>
      <vt:variant>
        <vt:lpwstr/>
      </vt:variant>
      <vt:variant>
        <vt:lpwstr>_Annex_E:_Supply</vt:lpwstr>
      </vt:variant>
      <vt:variant>
        <vt:i4>8323150</vt:i4>
      </vt:variant>
      <vt:variant>
        <vt:i4>579</vt:i4>
      </vt:variant>
      <vt:variant>
        <vt:i4>0</vt:i4>
      </vt:variant>
      <vt:variant>
        <vt:i4>5</vt:i4>
      </vt:variant>
      <vt:variant>
        <vt:lpwstr/>
      </vt:variant>
      <vt:variant>
        <vt:lpwstr>_Emission_reduction_actions</vt:lpwstr>
      </vt:variant>
      <vt:variant>
        <vt:i4>8323150</vt:i4>
      </vt:variant>
      <vt:variant>
        <vt:i4>576</vt:i4>
      </vt:variant>
      <vt:variant>
        <vt:i4>0</vt:i4>
      </vt:variant>
      <vt:variant>
        <vt:i4>5</vt:i4>
      </vt:variant>
      <vt:variant>
        <vt:lpwstr/>
      </vt:variant>
      <vt:variant>
        <vt:lpwstr>_Emission_reduction_actions</vt:lpwstr>
      </vt:variant>
      <vt:variant>
        <vt:i4>8061006</vt:i4>
      </vt:variant>
      <vt:variant>
        <vt:i4>573</vt:i4>
      </vt:variant>
      <vt:variant>
        <vt:i4>0</vt:i4>
      </vt:variant>
      <vt:variant>
        <vt:i4>5</vt:i4>
      </vt:variant>
      <vt:variant>
        <vt:lpwstr/>
      </vt:variant>
      <vt:variant>
        <vt:lpwstr>_Determine_which_emissions</vt:lpwstr>
      </vt:variant>
      <vt:variant>
        <vt:i4>3735621</vt:i4>
      </vt:variant>
      <vt:variant>
        <vt:i4>570</vt:i4>
      </vt:variant>
      <vt:variant>
        <vt:i4>0</vt:i4>
      </vt:variant>
      <vt:variant>
        <vt:i4>5</vt:i4>
      </vt:variant>
      <vt:variant>
        <vt:lpwstr/>
      </vt:variant>
      <vt:variant>
        <vt:lpwstr>_Annex_H:_Example</vt:lpwstr>
      </vt:variant>
      <vt:variant>
        <vt:i4>2293874</vt:i4>
      </vt:variant>
      <vt:variant>
        <vt:i4>567</vt:i4>
      </vt:variant>
      <vt:variant>
        <vt:i4>0</vt:i4>
      </vt:variant>
      <vt:variant>
        <vt:i4>5</vt:i4>
      </vt:variant>
      <vt:variant>
        <vt:lpwstr>http://www.ghgprotocol.org/feature/ghg-protocol-power-accounting-guidelines</vt:lpwstr>
      </vt:variant>
      <vt:variant>
        <vt:lpwstr/>
      </vt:variant>
      <vt:variant>
        <vt:i4>3735621</vt:i4>
      </vt:variant>
      <vt:variant>
        <vt:i4>564</vt:i4>
      </vt:variant>
      <vt:variant>
        <vt:i4>0</vt:i4>
      </vt:variant>
      <vt:variant>
        <vt:i4>5</vt:i4>
      </vt:variant>
      <vt:variant>
        <vt:lpwstr/>
      </vt:variant>
      <vt:variant>
        <vt:lpwstr>_Annex_H:_Example</vt:lpwstr>
      </vt:variant>
      <vt:variant>
        <vt:i4>5636129</vt:i4>
      </vt:variant>
      <vt:variant>
        <vt:i4>558</vt:i4>
      </vt:variant>
      <vt:variant>
        <vt:i4>0</vt:i4>
      </vt:variant>
      <vt:variant>
        <vt:i4>5</vt:i4>
      </vt:variant>
      <vt:variant>
        <vt:lpwstr/>
      </vt:variant>
      <vt:variant>
        <vt:lpwstr>_Annex_G:_Emission</vt:lpwstr>
      </vt:variant>
      <vt:variant>
        <vt:i4>5701750</vt:i4>
      </vt:variant>
      <vt:variant>
        <vt:i4>555</vt:i4>
      </vt:variant>
      <vt:variant>
        <vt:i4>0</vt:i4>
      </vt:variant>
      <vt:variant>
        <vt:i4>5</vt:i4>
      </vt:variant>
      <vt:variant>
        <vt:lpwstr/>
      </vt:variant>
      <vt:variant>
        <vt:lpwstr>_More_on_Scope</vt:lpwstr>
      </vt:variant>
      <vt:variant>
        <vt:i4>7733321</vt:i4>
      </vt:variant>
      <vt:variant>
        <vt:i4>552</vt:i4>
      </vt:variant>
      <vt:variant>
        <vt:i4>0</vt:i4>
      </vt:variant>
      <vt:variant>
        <vt:i4>5</vt:i4>
      </vt:variant>
      <vt:variant>
        <vt:lpwstr/>
      </vt:variant>
      <vt:variant>
        <vt:lpwstr>_Biogas_and_biomethane</vt:lpwstr>
      </vt:variant>
      <vt:variant>
        <vt:i4>3604528</vt:i4>
      </vt:variant>
      <vt:variant>
        <vt:i4>549</vt:i4>
      </vt:variant>
      <vt:variant>
        <vt:i4>0</vt:i4>
      </vt:variant>
      <vt:variant>
        <vt:i4>5</vt:i4>
      </vt:variant>
      <vt:variant>
        <vt:lpwstr>http://www.ipcc-nggip.iges.or.jp/public/2006gl/</vt:lpwstr>
      </vt:variant>
      <vt:variant>
        <vt:lpwstr/>
      </vt:variant>
      <vt:variant>
        <vt:i4>6160399</vt:i4>
      </vt:variant>
      <vt:variant>
        <vt:i4>546</vt:i4>
      </vt:variant>
      <vt:variant>
        <vt:i4>0</vt:i4>
      </vt:variant>
      <vt:variant>
        <vt:i4>5</vt:i4>
      </vt:variant>
      <vt:variant>
        <vt:lpwstr>http://www.ghgprotocol.org/calculation-tools</vt:lpwstr>
      </vt:variant>
      <vt:variant>
        <vt:lpwstr/>
      </vt:variant>
      <vt:variant>
        <vt:i4>983111</vt:i4>
      </vt:variant>
      <vt:variant>
        <vt:i4>543</vt:i4>
      </vt:variant>
      <vt:variant>
        <vt:i4>0</vt:i4>
      </vt:variant>
      <vt:variant>
        <vt:i4>5</vt:i4>
      </vt:variant>
      <vt:variant>
        <vt:lpwstr>https://www.gov.uk/measuring-and-reporting-environmental-impacts-guidance-for-businesses</vt:lpwstr>
      </vt:variant>
      <vt:variant>
        <vt:lpwstr/>
      </vt:variant>
      <vt:variant>
        <vt:i4>6094904</vt:i4>
      </vt:variant>
      <vt:variant>
        <vt:i4>540</vt:i4>
      </vt:variant>
      <vt:variant>
        <vt:i4>0</vt:i4>
      </vt:variant>
      <vt:variant>
        <vt:i4>5</vt:i4>
      </vt:variant>
      <vt:variant>
        <vt:lpwstr/>
      </vt:variant>
      <vt:variant>
        <vt:lpwstr>_Annex_D:_Heat</vt:lpwstr>
      </vt:variant>
      <vt:variant>
        <vt:i4>8061007</vt:i4>
      </vt:variant>
      <vt:variant>
        <vt:i4>534</vt:i4>
      </vt:variant>
      <vt:variant>
        <vt:i4>0</vt:i4>
      </vt:variant>
      <vt:variant>
        <vt:i4>5</vt:i4>
      </vt:variant>
      <vt:variant>
        <vt:lpwstr>http://www.ghgprotocol.org/files/ghgp/tools/Appendix_F_Leased_Assets.pdf</vt:lpwstr>
      </vt:variant>
      <vt:variant>
        <vt:lpwstr/>
      </vt:variant>
      <vt:variant>
        <vt:i4>3866649</vt:i4>
      </vt:variant>
      <vt:variant>
        <vt:i4>531</vt:i4>
      </vt:variant>
      <vt:variant>
        <vt:i4>0</vt:i4>
      </vt:variant>
      <vt:variant>
        <vt:i4>5</vt:i4>
      </vt:variant>
      <vt:variant>
        <vt:lpwstr>http://www.iso.org/iso/catalogue_detail?csnumber=38381</vt:lpwstr>
      </vt:variant>
      <vt:variant>
        <vt:lpwstr/>
      </vt:variant>
      <vt:variant>
        <vt:i4>2293803</vt:i4>
      </vt:variant>
      <vt:variant>
        <vt:i4>528</vt:i4>
      </vt:variant>
      <vt:variant>
        <vt:i4>0</vt:i4>
      </vt:variant>
      <vt:variant>
        <vt:i4>5</vt:i4>
      </vt:variant>
      <vt:variant>
        <vt:lpwstr>http://www.ghgprotocol.org/standards/corporate-standard</vt:lpwstr>
      </vt:variant>
      <vt:variant>
        <vt:lpwstr/>
      </vt:variant>
      <vt:variant>
        <vt:i4>983111</vt:i4>
      </vt:variant>
      <vt:variant>
        <vt:i4>525</vt:i4>
      </vt:variant>
      <vt:variant>
        <vt:i4>0</vt:i4>
      </vt:variant>
      <vt:variant>
        <vt:i4>5</vt:i4>
      </vt:variant>
      <vt:variant>
        <vt:lpwstr>https://www.gov.uk/measuring-and-reporting-environmental-impacts-guidance-for-businesses</vt:lpwstr>
      </vt:variant>
      <vt:variant>
        <vt:lpwstr/>
      </vt:variant>
      <vt:variant>
        <vt:i4>1572959</vt:i4>
      </vt:variant>
      <vt:variant>
        <vt:i4>522</vt:i4>
      </vt:variant>
      <vt:variant>
        <vt:i4>0</vt:i4>
      </vt:variant>
      <vt:variant>
        <vt:i4>5</vt:i4>
      </vt:variant>
      <vt:variant>
        <vt:lpwstr>http://unfccc.int/national_reports/annex_i_ghg_inventories/items/4624.php</vt:lpwstr>
      </vt:variant>
      <vt:variant>
        <vt:lpwstr/>
      </vt:variant>
      <vt:variant>
        <vt:i4>2621515</vt:i4>
      </vt:variant>
      <vt:variant>
        <vt:i4>519</vt:i4>
      </vt:variant>
      <vt:variant>
        <vt:i4>0</vt:i4>
      </vt:variant>
      <vt:variant>
        <vt:i4>5</vt:i4>
      </vt:variant>
      <vt:variant>
        <vt:lpwstr/>
      </vt:variant>
      <vt:variant>
        <vt:lpwstr>_Annex_B:_Process</vt:lpwstr>
      </vt:variant>
      <vt:variant>
        <vt:i4>5898254</vt:i4>
      </vt:variant>
      <vt:variant>
        <vt:i4>516</vt:i4>
      </vt:variant>
      <vt:variant>
        <vt:i4>0</vt:i4>
      </vt:variant>
      <vt:variant>
        <vt:i4>5</vt:i4>
      </vt:variant>
      <vt:variant>
        <vt:lpwstr>http://www.ukconversionfactorscarbonsmart.co.uk/</vt:lpwstr>
      </vt:variant>
      <vt:variant>
        <vt:lpwstr/>
      </vt:variant>
      <vt:variant>
        <vt:i4>7077964</vt:i4>
      </vt:variant>
      <vt:variant>
        <vt:i4>513</vt:i4>
      </vt:variant>
      <vt:variant>
        <vt:i4>0</vt:i4>
      </vt:variant>
      <vt:variant>
        <vt:i4>5</vt:i4>
      </vt:variant>
      <vt:variant>
        <vt:lpwstr/>
      </vt:variant>
      <vt:variant>
        <vt:lpwstr>_Principles_for_accounting</vt:lpwstr>
      </vt:variant>
      <vt:variant>
        <vt:i4>1245196</vt:i4>
      </vt:variant>
      <vt:variant>
        <vt:i4>510</vt:i4>
      </vt:variant>
      <vt:variant>
        <vt:i4>0</vt:i4>
      </vt:variant>
      <vt:variant>
        <vt:i4>5</vt:i4>
      </vt:variant>
      <vt:variant>
        <vt:lpwstr>http://www.ghgprotocol.org/standards/scope-3-standard</vt:lpwstr>
      </vt:variant>
      <vt:variant>
        <vt:lpwstr/>
      </vt:variant>
      <vt:variant>
        <vt:i4>8126509</vt:i4>
      </vt:variant>
      <vt:variant>
        <vt:i4>507</vt:i4>
      </vt:variant>
      <vt:variant>
        <vt:i4>0</vt:i4>
      </vt:variant>
      <vt:variant>
        <vt:i4>5</vt:i4>
      </vt:variant>
      <vt:variant>
        <vt:lpwstr>http://www.cdsb.net/climate-change-reporting-framework/</vt:lpwstr>
      </vt:variant>
      <vt:variant>
        <vt:lpwstr/>
      </vt:variant>
      <vt:variant>
        <vt:i4>6029316</vt:i4>
      </vt:variant>
      <vt:variant>
        <vt:i4>504</vt:i4>
      </vt:variant>
      <vt:variant>
        <vt:i4>0</vt:i4>
      </vt:variant>
      <vt:variant>
        <vt:i4>5</vt:i4>
      </vt:variant>
      <vt:variant>
        <vt:lpwstr>http://www.cdproject.net/</vt:lpwstr>
      </vt:variant>
      <vt:variant>
        <vt:lpwstr/>
      </vt:variant>
      <vt:variant>
        <vt:i4>3866649</vt:i4>
      </vt:variant>
      <vt:variant>
        <vt:i4>501</vt:i4>
      </vt:variant>
      <vt:variant>
        <vt:i4>0</vt:i4>
      </vt:variant>
      <vt:variant>
        <vt:i4>5</vt:i4>
      </vt:variant>
      <vt:variant>
        <vt:lpwstr>http://www.iso.org/iso/catalogue_detail?csnumber=38381</vt:lpwstr>
      </vt:variant>
      <vt:variant>
        <vt:lpwstr/>
      </vt:variant>
      <vt:variant>
        <vt:i4>2293803</vt:i4>
      </vt:variant>
      <vt:variant>
        <vt:i4>498</vt:i4>
      </vt:variant>
      <vt:variant>
        <vt:i4>0</vt:i4>
      </vt:variant>
      <vt:variant>
        <vt:i4>5</vt:i4>
      </vt:variant>
      <vt:variant>
        <vt:lpwstr>http://www.ghgprotocol.org/standards/corporate-standard</vt:lpwstr>
      </vt:variant>
      <vt:variant>
        <vt:lpwstr/>
      </vt:variant>
      <vt:variant>
        <vt:i4>2752633</vt:i4>
      </vt:variant>
      <vt:variant>
        <vt:i4>489</vt:i4>
      </vt:variant>
      <vt:variant>
        <vt:i4>0</vt:i4>
      </vt:variant>
      <vt:variant>
        <vt:i4>5</vt:i4>
      </vt:variant>
      <vt:variant>
        <vt:lpwstr>http://www,ghgprotocol.org/</vt:lpwstr>
      </vt:variant>
      <vt:variant>
        <vt:lpwstr/>
      </vt:variant>
      <vt:variant>
        <vt:i4>3080233</vt:i4>
      </vt:variant>
      <vt:variant>
        <vt:i4>483</vt:i4>
      </vt:variant>
      <vt:variant>
        <vt:i4>0</vt:i4>
      </vt:variant>
      <vt:variant>
        <vt:i4>5</vt:i4>
      </vt:variant>
      <vt:variant>
        <vt:lpwstr>https://www.globalreporting.org/Pages/default.aspx</vt:lpwstr>
      </vt:variant>
      <vt:variant>
        <vt:lpwstr/>
      </vt:variant>
      <vt:variant>
        <vt:i4>8126509</vt:i4>
      </vt:variant>
      <vt:variant>
        <vt:i4>480</vt:i4>
      </vt:variant>
      <vt:variant>
        <vt:i4>0</vt:i4>
      </vt:variant>
      <vt:variant>
        <vt:i4>5</vt:i4>
      </vt:variant>
      <vt:variant>
        <vt:lpwstr>http://www.cdsb.net/climate-change-reporting-framework/</vt:lpwstr>
      </vt:variant>
      <vt:variant>
        <vt:lpwstr/>
      </vt:variant>
      <vt:variant>
        <vt:i4>3866649</vt:i4>
      </vt:variant>
      <vt:variant>
        <vt:i4>477</vt:i4>
      </vt:variant>
      <vt:variant>
        <vt:i4>0</vt:i4>
      </vt:variant>
      <vt:variant>
        <vt:i4>5</vt:i4>
      </vt:variant>
      <vt:variant>
        <vt:lpwstr>http://www.iso.org/iso/catalogue_detail?csnumber=38381</vt:lpwstr>
      </vt:variant>
      <vt:variant>
        <vt:lpwstr/>
      </vt:variant>
      <vt:variant>
        <vt:i4>2293803</vt:i4>
      </vt:variant>
      <vt:variant>
        <vt:i4>474</vt:i4>
      </vt:variant>
      <vt:variant>
        <vt:i4>0</vt:i4>
      </vt:variant>
      <vt:variant>
        <vt:i4>5</vt:i4>
      </vt:variant>
      <vt:variant>
        <vt:lpwstr>http://www.ghgprotocol.org/standards/corporate-standard</vt:lpwstr>
      </vt:variant>
      <vt:variant>
        <vt:lpwstr/>
      </vt:variant>
      <vt:variant>
        <vt:i4>3866649</vt:i4>
      </vt:variant>
      <vt:variant>
        <vt:i4>471</vt:i4>
      </vt:variant>
      <vt:variant>
        <vt:i4>0</vt:i4>
      </vt:variant>
      <vt:variant>
        <vt:i4>5</vt:i4>
      </vt:variant>
      <vt:variant>
        <vt:lpwstr>http://www.iso.org/iso/catalogue_detail?csnumber=38381</vt:lpwstr>
      </vt:variant>
      <vt:variant>
        <vt:lpwstr/>
      </vt:variant>
      <vt:variant>
        <vt:i4>3866649</vt:i4>
      </vt:variant>
      <vt:variant>
        <vt:i4>462</vt:i4>
      </vt:variant>
      <vt:variant>
        <vt:i4>0</vt:i4>
      </vt:variant>
      <vt:variant>
        <vt:i4>5</vt:i4>
      </vt:variant>
      <vt:variant>
        <vt:lpwstr>http://www.iso.org/iso/catalogue_detail?csnumber=38381</vt:lpwstr>
      </vt:variant>
      <vt:variant>
        <vt:lpwstr/>
      </vt:variant>
      <vt:variant>
        <vt:i4>2293803</vt:i4>
      </vt:variant>
      <vt:variant>
        <vt:i4>459</vt:i4>
      </vt:variant>
      <vt:variant>
        <vt:i4>0</vt:i4>
      </vt:variant>
      <vt:variant>
        <vt:i4>5</vt:i4>
      </vt:variant>
      <vt:variant>
        <vt:lpwstr>http://www.ghgprotocol.org/standards/corporate-standard</vt:lpwstr>
      </vt:variant>
      <vt:variant>
        <vt:lpwstr/>
      </vt:variant>
      <vt:variant>
        <vt:i4>2031685</vt:i4>
      </vt:variant>
      <vt:variant>
        <vt:i4>450</vt:i4>
      </vt:variant>
      <vt:variant>
        <vt:i4>0</vt:i4>
      </vt:variant>
      <vt:variant>
        <vt:i4>5</vt:i4>
      </vt:variant>
      <vt:variant>
        <vt:lpwstr>https://www.cdproject.net/CDPResults/insights-into-climate-change-adaptation-by-uk-companies.pdf</vt:lpwstr>
      </vt:variant>
      <vt:variant>
        <vt:lpwstr/>
      </vt:variant>
      <vt:variant>
        <vt:i4>6488123</vt:i4>
      </vt:variant>
      <vt:variant>
        <vt:i4>447</vt:i4>
      </vt:variant>
      <vt:variant>
        <vt:i4>0</vt:i4>
      </vt:variant>
      <vt:variant>
        <vt:i4>5</vt:i4>
      </vt:variant>
      <vt:variant>
        <vt:lpwstr>https://www.cdp.net/Documents/Verification-of-Climate-Data.pdf</vt:lpwstr>
      </vt:variant>
      <vt:variant>
        <vt:lpwstr/>
      </vt:variant>
      <vt:variant>
        <vt:i4>2031624</vt:i4>
      </vt:variant>
      <vt:variant>
        <vt:i4>444</vt:i4>
      </vt:variant>
      <vt:variant>
        <vt:i4>0</vt:i4>
      </vt:variant>
      <vt:variant>
        <vt:i4>5</vt:i4>
      </vt:variant>
      <vt:variant>
        <vt:lpwstr>http://www.iso.org/iso/home/store/catalogue_tc/catalogue_detail.htm?csnumber=38700&amp;commid=54808</vt:lpwstr>
      </vt:variant>
      <vt:variant>
        <vt:lpwstr/>
      </vt:variant>
      <vt:variant>
        <vt:i4>5308491</vt:i4>
      </vt:variant>
      <vt:variant>
        <vt:i4>441</vt:i4>
      </vt:variant>
      <vt:variant>
        <vt:i4>0</vt:i4>
      </vt:variant>
      <vt:variant>
        <vt:i4>5</vt:i4>
      </vt:variant>
      <vt:variant>
        <vt:lpwstr>http://www.wbcsd.org/work-program/ecosystems/cev.aspx</vt:lpwstr>
      </vt:variant>
      <vt:variant>
        <vt:lpwstr/>
      </vt:variant>
      <vt:variant>
        <vt:i4>2228347</vt:i4>
      </vt:variant>
      <vt:variant>
        <vt:i4>438</vt:i4>
      </vt:variant>
      <vt:variant>
        <vt:i4>0</vt:i4>
      </vt:variant>
      <vt:variant>
        <vt:i4>5</vt:i4>
      </vt:variant>
      <vt:variant>
        <vt:lpwstr>http://www.uneptie.org/</vt:lpwstr>
      </vt:variant>
      <vt:variant>
        <vt:lpwstr/>
      </vt:variant>
      <vt:variant>
        <vt:i4>2359374</vt:i4>
      </vt:variant>
      <vt:variant>
        <vt:i4>435</vt:i4>
      </vt:variant>
      <vt:variant>
        <vt:i4>0</vt:i4>
      </vt:variant>
      <vt:variant>
        <vt:i4>5</vt:i4>
      </vt:variant>
      <vt:variant>
        <vt:lpwstr>http://www.iema.net/ems/acorn_scheme</vt:lpwstr>
      </vt:variant>
      <vt:variant>
        <vt:lpwstr/>
      </vt:variant>
      <vt:variant>
        <vt:i4>1507420</vt:i4>
      </vt:variant>
      <vt:variant>
        <vt:i4>432</vt:i4>
      </vt:variant>
      <vt:variant>
        <vt:i4>0</vt:i4>
      </vt:variant>
      <vt:variant>
        <vt:i4>5</vt:i4>
      </vt:variant>
      <vt:variant>
        <vt:lpwstr>http://www.iema.net/ems/emas</vt:lpwstr>
      </vt:variant>
      <vt:variant>
        <vt:lpwstr/>
      </vt:variant>
      <vt:variant>
        <vt:i4>4849754</vt:i4>
      </vt:variant>
      <vt:variant>
        <vt:i4>429</vt:i4>
      </vt:variant>
      <vt:variant>
        <vt:i4>0</vt:i4>
      </vt:variant>
      <vt:variant>
        <vt:i4>5</vt:i4>
      </vt:variant>
      <vt:variant>
        <vt:lpwstr>http://www.iema.net/ems/iso14001</vt:lpwstr>
      </vt:variant>
      <vt:variant>
        <vt:lpwstr/>
      </vt:variant>
      <vt:variant>
        <vt:i4>6225996</vt:i4>
      </vt:variant>
      <vt:variant>
        <vt:i4>426</vt:i4>
      </vt:variant>
      <vt:variant>
        <vt:i4>0</vt:i4>
      </vt:variant>
      <vt:variant>
        <vt:i4>5</vt:i4>
      </vt:variant>
      <vt:variant>
        <vt:lpwstr>http://www.cdsb.net/</vt:lpwstr>
      </vt:variant>
      <vt:variant>
        <vt:lpwstr/>
      </vt:variant>
      <vt:variant>
        <vt:i4>3735646</vt:i4>
      </vt:variant>
      <vt:variant>
        <vt:i4>423</vt:i4>
      </vt:variant>
      <vt:variant>
        <vt:i4>0</vt:i4>
      </vt:variant>
      <vt:variant>
        <vt:i4>5</vt:i4>
      </vt:variant>
      <vt:variant>
        <vt:lpwstr/>
      </vt:variant>
      <vt:variant>
        <vt:lpwstr>_Annex_A:_Organisational</vt:lpwstr>
      </vt:variant>
      <vt:variant>
        <vt:i4>3670143</vt:i4>
      </vt:variant>
      <vt:variant>
        <vt:i4>420</vt:i4>
      </vt:variant>
      <vt:variant>
        <vt:i4>0</vt:i4>
      </vt:variant>
      <vt:variant>
        <vt:i4>5</vt:i4>
      </vt:variant>
      <vt:variant>
        <vt:lpwstr>http://www.theiirc.org/</vt:lpwstr>
      </vt:variant>
      <vt:variant>
        <vt:lpwstr/>
      </vt:variant>
      <vt:variant>
        <vt:i4>5177409</vt:i4>
      </vt:variant>
      <vt:variant>
        <vt:i4>417</vt:i4>
      </vt:variant>
      <vt:variant>
        <vt:i4>0</vt:i4>
      </vt:variant>
      <vt:variant>
        <vt:i4>5</vt:i4>
      </vt:variant>
      <vt:variant>
        <vt:lpwstr>http://www.environment-agency.gov.uk/environmentalfinance</vt:lpwstr>
      </vt:variant>
      <vt:variant>
        <vt:lpwstr/>
      </vt:variant>
      <vt:variant>
        <vt:i4>4259928</vt:i4>
      </vt:variant>
      <vt:variant>
        <vt:i4>414</vt:i4>
      </vt:variant>
      <vt:variant>
        <vt:i4>0</vt:i4>
      </vt:variant>
      <vt:variant>
        <vt:i4>5</vt:i4>
      </vt:variant>
      <vt:variant>
        <vt:lpwstr>http://www.defra.gov.uk/naturalcapitalcommittee/</vt:lpwstr>
      </vt:variant>
      <vt:variant>
        <vt:lpwstr/>
      </vt:variant>
      <vt:variant>
        <vt:i4>7864447</vt:i4>
      </vt:variant>
      <vt:variant>
        <vt:i4>411</vt:i4>
      </vt:variant>
      <vt:variant>
        <vt:i4>0</vt:i4>
      </vt:variant>
      <vt:variant>
        <vt:i4>5</vt:i4>
      </vt:variant>
      <vt:variant>
        <vt:lpwstr>http://randd.defra.gov.uk/Default.aspx?Menu=Menu&amp;Module=More&amp;Location=None&amp;ProjectID=16942&amp;FromSearch=Y&amp;Publisher=1&amp;SearchText=EV0440&amp;SortString=ProjectCode&amp;SortOrder=Asc&amp;Paging=10</vt:lpwstr>
      </vt:variant>
      <vt:variant>
        <vt:lpwstr>Description</vt:lpwstr>
      </vt:variant>
      <vt:variant>
        <vt:i4>1769528</vt:i4>
      </vt:variant>
      <vt:variant>
        <vt:i4>404</vt:i4>
      </vt:variant>
      <vt:variant>
        <vt:i4>0</vt:i4>
      </vt:variant>
      <vt:variant>
        <vt:i4>5</vt:i4>
      </vt:variant>
      <vt:variant>
        <vt:lpwstr/>
      </vt:variant>
      <vt:variant>
        <vt:lpwstr>_Toc358726185</vt:lpwstr>
      </vt:variant>
      <vt:variant>
        <vt:i4>1769528</vt:i4>
      </vt:variant>
      <vt:variant>
        <vt:i4>398</vt:i4>
      </vt:variant>
      <vt:variant>
        <vt:i4>0</vt:i4>
      </vt:variant>
      <vt:variant>
        <vt:i4>5</vt:i4>
      </vt:variant>
      <vt:variant>
        <vt:lpwstr/>
      </vt:variant>
      <vt:variant>
        <vt:lpwstr>_Toc358726184</vt:lpwstr>
      </vt:variant>
      <vt:variant>
        <vt:i4>1769528</vt:i4>
      </vt:variant>
      <vt:variant>
        <vt:i4>392</vt:i4>
      </vt:variant>
      <vt:variant>
        <vt:i4>0</vt:i4>
      </vt:variant>
      <vt:variant>
        <vt:i4>5</vt:i4>
      </vt:variant>
      <vt:variant>
        <vt:lpwstr/>
      </vt:variant>
      <vt:variant>
        <vt:lpwstr>_Toc358726183</vt:lpwstr>
      </vt:variant>
      <vt:variant>
        <vt:i4>1769528</vt:i4>
      </vt:variant>
      <vt:variant>
        <vt:i4>386</vt:i4>
      </vt:variant>
      <vt:variant>
        <vt:i4>0</vt:i4>
      </vt:variant>
      <vt:variant>
        <vt:i4>5</vt:i4>
      </vt:variant>
      <vt:variant>
        <vt:lpwstr/>
      </vt:variant>
      <vt:variant>
        <vt:lpwstr>_Toc358726182</vt:lpwstr>
      </vt:variant>
      <vt:variant>
        <vt:i4>1769528</vt:i4>
      </vt:variant>
      <vt:variant>
        <vt:i4>380</vt:i4>
      </vt:variant>
      <vt:variant>
        <vt:i4>0</vt:i4>
      </vt:variant>
      <vt:variant>
        <vt:i4>5</vt:i4>
      </vt:variant>
      <vt:variant>
        <vt:lpwstr/>
      </vt:variant>
      <vt:variant>
        <vt:lpwstr>_Toc358726181</vt:lpwstr>
      </vt:variant>
      <vt:variant>
        <vt:i4>1769528</vt:i4>
      </vt:variant>
      <vt:variant>
        <vt:i4>374</vt:i4>
      </vt:variant>
      <vt:variant>
        <vt:i4>0</vt:i4>
      </vt:variant>
      <vt:variant>
        <vt:i4>5</vt:i4>
      </vt:variant>
      <vt:variant>
        <vt:lpwstr/>
      </vt:variant>
      <vt:variant>
        <vt:lpwstr>_Toc358726180</vt:lpwstr>
      </vt:variant>
      <vt:variant>
        <vt:i4>1310776</vt:i4>
      </vt:variant>
      <vt:variant>
        <vt:i4>368</vt:i4>
      </vt:variant>
      <vt:variant>
        <vt:i4>0</vt:i4>
      </vt:variant>
      <vt:variant>
        <vt:i4>5</vt:i4>
      </vt:variant>
      <vt:variant>
        <vt:lpwstr/>
      </vt:variant>
      <vt:variant>
        <vt:lpwstr>_Toc358726179</vt:lpwstr>
      </vt:variant>
      <vt:variant>
        <vt:i4>1310776</vt:i4>
      </vt:variant>
      <vt:variant>
        <vt:i4>362</vt:i4>
      </vt:variant>
      <vt:variant>
        <vt:i4>0</vt:i4>
      </vt:variant>
      <vt:variant>
        <vt:i4>5</vt:i4>
      </vt:variant>
      <vt:variant>
        <vt:lpwstr/>
      </vt:variant>
      <vt:variant>
        <vt:lpwstr>_Toc358726178</vt:lpwstr>
      </vt:variant>
      <vt:variant>
        <vt:i4>1310776</vt:i4>
      </vt:variant>
      <vt:variant>
        <vt:i4>356</vt:i4>
      </vt:variant>
      <vt:variant>
        <vt:i4>0</vt:i4>
      </vt:variant>
      <vt:variant>
        <vt:i4>5</vt:i4>
      </vt:variant>
      <vt:variant>
        <vt:lpwstr/>
      </vt:variant>
      <vt:variant>
        <vt:lpwstr>_Toc358726177</vt:lpwstr>
      </vt:variant>
      <vt:variant>
        <vt:i4>1310776</vt:i4>
      </vt:variant>
      <vt:variant>
        <vt:i4>350</vt:i4>
      </vt:variant>
      <vt:variant>
        <vt:i4>0</vt:i4>
      </vt:variant>
      <vt:variant>
        <vt:i4>5</vt:i4>
      </vt:variant>
      <vt:variant>
        <vt:lpwstr/>
      </vt:variant>
      <vt:variant>
        <vt:lpwstr>_Toc358726176</vt:lpwstr>
      </vt:variant>
      <vt:variant>
        <vt:i4>1310776</vt:i4>
      </vt:variant>
      <vt:variant>
        <vt:i4>344</vt:i4>
      </vt:variant>
      <vt:variant>
        <vt:i4>0</vt:i4>
      </vt:variant>
      <vt:variant>
        <vt:i4>5</vt:i4>
      </vt:variant>
      <vt:variant>
        <vt:lpwstr/>
      </vt:variant>
      <vt:variant>
        <vt:lpwstr>_Toc358726175</vt:lpwstr>
      </vt:variant>
      <vt:variant>
        <vt:i4>1310776</vt:i4>
      </vt:variant>
      <vt:variant>
        <vt:i4>338</vt:i4>
      </vt:variant>
      <vt:variant>
        <vt:i4>0</vt:i4>
      </vt:variant>
      <vt:variant>
        <vt:i4>5</vt:i4>
      </vt:variant>
      <vt:variant>
        <vt:lpwstr/>
      </vt:variant>
      <vt:variant>
        <vt:lpwstr>_Toc358726174</vt:lpwstr>
      </vt:variant>
      <vt:variant>
        <vt:i4>1310776</vt:i4>
      </vt:variant>
      <vt:variant>
        <vt:i4>332</vt:i4>
      </vt:variant>
      <vt:variant>
        <vt:i4>0</vt:i4>
      </vt:variant>
      <vt:variant>
        <vt:i4>5</vt:i4>
      </vt:variant>
      <vt:variant>
        <vt:lpwstr/>
      </vt:variant>
      <vt:variant>
        <vt:lpwstr>_Toc358726173</vt:lpwstr>
      </vt:variant>
      <vt:variant>
        <vt:i4>1310776</vt:i4>
      </vt:variant>
      <vt:variant>
        <vt:i4>326</vt:i4>
      </vt:variant>
      <vt:variant>
        <vt:i4>0</vt:i4>
      </vt:variant>
      <vt:variant>
        <vt:i4>5</vt:i4>
      </vt:variant>
      <vt:variant>
        <vt:lpwstr/>
      </vt:variant>
      <vt:variant>
        <vt:lpwstr>_Toc358726172</vt:lpwstr>
      </vt:variant>
      <vt:variant>
        <vt:i4>1310776</vt:i4>
      </vt:variant>
      <vt:variant>
        <vt:i4>320</vt:i4>
      </vt:variant>
      <vt:variant>
        <vt:i4>0</vt:i4>
      </vt:variant>
      <vt:variant>
        <vt:i4>5</vt:i4>
      </vt:variant>
      <vt:variant>
        <vt:lpwstr/>
      </vt:variant>
      <vt:variant>
        <vt:lpwstr>_Toc358726171</vt:lpwstr>
      </vt:variant>
      <vt:variant>
        <vt:i4>1310776</vt:i4>
      </vt:variant>
      <vt:variant>
        <vt:i4>314</vt:i4>
      </vt:variant>
      <vt:variant>
        <vt:i4>0</vt:i4>
      </vt:variant>
      <vt:variant>
        <vt:i4>5</vt:i4>
      </vt:variant>
      <vt:variant>
        <vt:lpwstr/>
      </vt:variant>
      <vt:variant>
        <vt:lpwstr>_Toc358726170</vt:lpwstr>
      </vt:variant>
      <vt:variant>
        <vt:i4>1376312</vt:i4>
      </vt:variant>
      <vt:variant>
        <vt:i4>308</vt:i4>
      </vt:variant>
      <vt:variant>
        <vt:i4>0</vt:i4>
      </vt:variant>
      <vt:variant>
        <vt:i4>5</vt:i4>
      </vt:variant>
      <vt:variant>
        <vt:lpwstr/>
      </vt:variant>
      <vt:variant>
        <vt:lpwstr>_Toc358726169</vt:lpwstr>
      </vt:variant>
      <vt:variant>
        <vt:i4>1376312</vt:i4>
      </vt:variant>
      <vt:variant>
        <vt:i4>302</vt:i4>
      </vt:variant>
      <vt:variant>
        <vt:i4>0</vt:i4>
      </vt:variant>
      <vt:variant>
        <vt:i4>5</vt:i4>
      </vt:variant>
      <vt:variant>
        <vt:lpwstr/>
      </vt:variant>
      <vt:variant>
        <vt:lpwstr>_Toc358726168</vt:lpwstr>
      </vt:variant>
      <vt:variant>
        <vt:i4>1376312</vt:i4>
      </vt:variant>
      <vt:variant>
        <vt:i4>296</vt:i4>
      </vt:variant>
      <vt:variant>
        <vt:i4>0</vt:i4>
      </vt:variant>
      <vt:variant>
        <vt:i4>5</vt:i4>
      </vt:variant>
      <vt:variant>
        <vt:lpwstr/>
      </vt:variant>
      <vt:variant>
        <vt:lpwstr>_Toc358726167</vt:lpwstr>
      </vt:variant>
      <vt:variant>
        <vt:i4>1376312</vt:i4>
      </vt:variant>
      <vt:variant>
        <vt:i4>290</vt:i4>
      </vt:variant>
      <vt:variant>
        <vt:i4>0</vt:i4>
      </vt:variant>
      <vt:variant>
        <vt:i4>5</vt:i4>
      </vt:variant>
      <vt:variant>
        <vt:lpwstr/>
      </vt:variant>
      <vt:variant>
        <vt:lpwstr>_Toc358726166</vt:lpwstr>
      </vt:variant>
      <vt:variant>
        <vt:i4>1376312</vt:i4>
      </vt:variant>
      <vt:variant>
        <vt:i4>284</vt:i4>
      </vt:variant>
      <vt:variant>
        <vt:i4>0</vt:i4>
      </vt:variant>
      <vt:variant>
        <vt:i4>5</vt:i4>
      </vt:variant>
      <vt:variant>
        <vt:lpwstr/>
      </vt:variant>
      <vt:variant>
        <vt:lpwstr>_Toc358726165</vt:lpwstr>
      </vt:variant>
      <vt:variant>
        <vt:i4>1376312</vt:i4>
      </vt:variant>
      <vt:variant>
        <vt:i4>278</vt:i4>
      </vt:variant>
      <vt:variant>
        <vt:i4>0</vt:i4>
      </vt:variant>
      <vt:variant>
        <vt:i4>5</vt:i4>
      </vt:variant>
      <vt:variant>
        <vt:lpwstr/>
      </vt:variant>
      <vt:variant>
        <vt:lpwstr>_Toc358726164</vt:lpwstr>
      </vt:variant>
      <vt:variant>
        <vt:i4>1376312</vt:i4>
      </vt:variant>
      <vt:variant>
        <vt:i4>272</vt:i4>
      </vt:variant>
      <vt:variant>
        <vt:i4>0</vt:i4>
      </vt:variant>
      <vt:variant>
        <vt:i4>5</vt:i4>
      </vt:variant>
      <vt:variant>
        <vt:lpwstr/>
      </vt:variant>
      <vt:variant>
        <vt:lpwstr>_Toc358726163</vt:lpwstr>
      </vt:variant>
      <vt:variant>
        <vt:i4>1376312</vt:i4>
      </vt:variant>
      <vt:variant>
        <vt:i4>266</vt:i4>
      </vt:variant>
      <vt:variant>
        <vt:i4>0</vt:i4>
      </vt:variant>
      <vt:variant>
        <vt:i4>5</vt:i4>
      </vt:variant>
      <vt:variant>
        <vt:lpwstr/>
      </vt:variant>
      <vt:variant>
        <vt:lpwstr>_Toc358726162</vt:lpwstr>
      </vt:variant>
      <vt:variant>
        <vt:i4>1376312</vt:i4>
      </vt:variant>
      <vt:variant>
        <vt:i4>260</vt:i4>
      </vt:variant>
      <vt:variant>
        <vt:i4>0</vt:i4>
      </vt:variant>
      <vt:variant>
        <vt:i4>5</vt:i4>
      </vt:variant>
      <vt:variant>
        <vt:lpwstr/>
      </vt:variant>
      <vt:variant>
        <vt:lpwstr>_Toc358726161</vt:lpwstr>
      </vt:variant>
      <vt:variant>
        <vt:i4>1376312</vt:i4>
      </vt:variant>
      <vt:variant>
        <vt:i4>254</vt:i4>
      </vt:variant>
      <vt:variant>
        <vt:i4>0</vt:i4>
      </vt:variant>
      <vt:variant>
        <vt:i4>5</vt:i4>
      </vt:variant>
      <vt:variant>
        <vt:lpwstr/>
      </vt:variant>
      <vt:variant>
        <vt:lpwstr>_Toc358726160</vt:lpwstr>
      </vt:variant>
      <vt:variant>
        <vt:i4>1441848</vt:i4>
      </vt:variant>
      <vt:variant>
        <vt:i4>248</vt:i4>
      </vt:variant>
      <vt:variant>
        <vt:i4>0</vt:i4>
      </vt:variant>
      <vt:variant>
        <vt:i4>5</vt:i4>
      </vt:variant>
      <vt:variant>
        <vt:lpwstr/>
      </vt:variant>
      <vt:variant>
        <vt:lpwstr>_Toc358726159</vt:lpwstr>
      </vt:variant>
      <vt:variant>
        <vt:i4>1441848</vt:i4>
      </vt:variant>
      <vt:variant>
        <vt:i4>242</vt:i4>
      </vt:variant>
      <vt:variant>
        <vt:i4>0</vt:i4>
      </vt:variant>
      <vt:variant>
        <vt:i4>5</vt:i4>
      </vt:variant>
      <vt:variant>
        <vt:lpwstr/>
      </vt:variant>
      <vt:variant>
        <vt:lpwstr>_Toc358726158</vt:lpwstr>
      </vt:variant>
      <vt:variant>
        <vt:i4>1441848</vt:i4>
      </vt:variant>
      <vt:variant>
        <vt:i4>236</vt:i4>
      </vt:variant>
      <vt:variant>
        <vt:i4>0</vt:i4>
      </vt:variant>
      <vt:variant>
        <vt:i4>5</vt:i4>
      </vt:variant>
      <vt:variant>
        <vt:lpwstr/>
      </vt:variant>
      <vt:variant>
        <vt:lpwstr>_Toc358726157</vt:lpwstr>
      </vt:variant>
      <vt:variant>
        <vt:i4>1441848</vt:i4>
      </vt:variant>
      <vt:variant>
        <vt:i4>230</vt:i4>
      </vt:variant>
      <vt:variant>
        <vt:i4>0</vt:i4>
      </vt:variant>
      <vt:variant>
        <vt:i4>5</vt:i4>
      </vt:variant>
      <vt:variant>
        <vt:lpwstr/>
      </vt:variant>
      <vt:variant>
        <vt:lpwstr>_Toc358726156</vt:lpwstr>
      </vt:variant>
      <vt:variant>
        <vt:i4>1441848</vt:i4>
      </vt:variant>
      <vt:variant>
        <vt:i4>224</vt:i4>
      </vt:variant>
      <vt:variant>
        <vt:i4>0</vt:i4>
      </vt:variant>
      <vt:variant>
        <vt:i4>5</vt:i4>
      </vt:variant>
      <vt:variant>
        <vt:lpwstr/>
      </vt:variant>
      <vt:variant>
        <vt:lpwstr>_Toc358726155</vt:lpwstr>
      </vt:variant>
      <vt:variant>
        <vt:i4>1441848</vt:i4>
      </vt:variant>
      <vt:variant>
        <vt:i4>218</vt:i4>
      </vt:variant>
      <vt:variant>
        <vt:i4>0</vt:i4>
      </vt:variant>
      <vt:variant>
        <vt:i4>5</vt:i4>
      </vt:variant>
      <vt:variant>
        <vt:lpwstr/>
      </vt:variant>
      <vt:variant>
        <vt:lpwstr>_Toc358726154</vt:lpwstr>
      </vt:variant>
      <vt:variant>
        <vt:i4>1441848</vt:i4>
      </vt:variant>
      <vt:variant>
        <vt:i4>212</vt:i4>
      </vt:variant>
      <vt:variant>
        <vt:i4>0</vt:i4>
      </vt:variant>
      <vt:variant>
        <vt:i4>5</vt:i4>
      </vt:variant>
      <vt:variant>
        <vt:lpwstr/>
      </vt:variant>
      <vt:variant>
        <vt:lpwstr>_Toc358726153</vt:lpwstr>
      </vt:variant>
      <vt:variant>
        <vt:i4>1441848</vt:i4>
      </vt:variant>
      <vt:variant>
        <vt:i4>206</vt:i4>
      </vt:variant>
      <vt:variant>
        <vt:i4>0</vt:i4>
      </vt:variant>
      <vt:variant>
        <vt:i4>5</vt:i4>
      </vt:variant>
      <vt:variant>
        <vt:lpwstr/>
      </vt:variant>
      <vt:variant>
        <vt:lpwstr>_Toc358726152</vt:lpwstr>
      </vt:variant>
      <vt:variant>
        <vt:i4>1441848</vt:i4>
      </vt:variant>
      <vt:variant>
        <vt:i4>200</vt:i4>
      </vt:variant>
      <vt:variant>
        <vt:i4>0</vt:i4>
      </vt:variant>
      <vt:variant>
        <vt:i4>5</vt:i4>
      </vt:variant>
      <vt:variant>
        <vt:lpwstr/>
      </vt:variant>
      <vt:variant>
        <vt:lpwstr>_Toc358726151</vt:lpwstr>
      </vt:variant>
      <vt:variant>
        <vt:i4>1441848</vt:i4>
      </vt:variant>
      <vt:variant>
        <vt:i4>194</vt:i4>
      </vt:variant>
      <vt:variant>
        <vt:i4>0</vt:i4>
      </vt:variant>
      <vt:variant>
        <vt:i4>5</vt:i4>
      </vt:variant>
      <vt:variant>
        <vt:lpwstr/>
      </vt:variant>
      <vt:variant>
        <vt:lpwstr>_Toc358726150</vt:lpwstr>
      </vt:variant>
      <vt:variant>
        <vt:i4>1507384</vt:i4>
      </vt:variant>
      <vt:variant>
        <vt:i4>188</vt:i4>
      </vt:variant>
      <vt:variant>
        <vt:i4>0</vt:i4>
      </vt:variant>
      <vt:variant>
        <vt:i4>5</vt:i4>
      </vt:variant>
      <vt:variant>
        <vt:lpwstr/>
      </vt:variant>
      <vt:variant>
        <vt:lpwstr>_Toc358726149</vt:lpwstr>
      </vt:variant>
      <vt:variant>
        <vt:i4>1507384</vt:i4>
      </vt:variant>
      <vt:variant>
        <vt:i4>182</vt:i4>
      </vt:variant>
      <vt:variant>
        <vt:i4>0</vt:i4>
      </vt:variant>
      <vt:variant>
        <vt:i4>5</vt:i4>
      </vt:variant>
      <vt:variant>
        <vt:lpwstr/>
      </vt:variant>
      <vt:variant>
        <vt:lpwstr>_Toc358726148</vt:lpwstr>
      </vt:variant>
      <vt:variant>
        <vt:i4>1507384</vt:i4>
      </vt:variant>
      <vt:variant>
        <vt:i4>176</vt:i4>
      </vt:variant>
      <vt:variant>
        <vt:i4>0</vt:i4>
      </vt:variant>
      <vt:variant>
        <vt:i4>5</vt:i4>
      </vt:variant>
      <vt:variant>
        <vt:lpwstr/>
      </vt:variant>
      <vt:variant>
        <vt:lpwstr>_Toc358726147</vt:lpwstr>
      </vt:variant>
      <vt:variant>
        <vt:i4>1507384</vt:i4>
      </vt:variant>
      <vt:variant>
        <vt:i4>170</vt:i4>
      </vt:variant>
      <vt:variant>
        <vt:i4>0</vt:i4>
      </vt:variant>
      <vt:variant>
        <vt:i4>5</vt:i4>
      </vt:variant>
      <vt:variant>
        <vt:lpwstr/>
      </vt:variant>
      <vt:variant>
        <vt:lpwstr>_Toc358726146</vt:lpwstr>
      </vt:variant>
      <vt:variant>
        <vt:i4>1507384</vt:i4>
      </vt:variant>
      <vt:variant>
        <vt:i4>164</vt:i4>
      </vt:variant>
      <vt:variant>
        <vt:i4>0</vt:i4>
      </vt:variant>
      <vt:variant>
        <vt:i4>5</vt:i4>
      </vt:variant>
      <vt:variant>
        <vt:lpwstr/>
      </vt:variant>
      <vt:variant>
        <vt:lpwstr>_Toc358726145</vt:lpwstr>
      </vt:variant>
      <vt:variant>
        <vt:i4>1507384</vt:i4>
      </vt:variant>
      <vt:variant>
        <vt:i4>158</vt:i4>
      </vt:variant>
      <vt:variant>
        <vt:i4>0</vt:i4>
      </vt:variant>
      <vt:variant>
        <vt:i4>5</vt:i4>
      </vt:variant>
      <vt:variant>
        <vt:lpwstr/>
      </vt:variant>
      <vt:variant>
        <vt:lpwstr>_Toc358726144</vt:lpwstr>
      </vt:variant>
      <vt:variant>
        <vt:i4>1507384</vt:i4>
      </vt:variant>
      <vt:variant>
        <vt:i4>152</vt:i4>
      </vt:variant>
      <vt:variant>
        <vt:i4>0</vt:i4>
      </vt:variant>
      <vt:variant>
        <vt:i4>5</vt:i4>
      </vt:variant>
      <vt:variant>
        <vt:lpwstr/>
      </vt:variant>
      <vt:variant>
        <vt:lpwstr>_Toc358726143</vt:lpwstr>
      </vt:variant>
      <vt:variant>
        <vt:i4>1507384</vt:i4>
      </vt:variant>
      <vt:variant>
        <vt:i4>146</vt:i4>
      </vt:variant>
      <vt:variant>
        <vt:i4>0</vt:i4>
      </vt:variant>
      <vt:variant>
        <vt:i4>5</vt:i4>
      </vt:variant>
      <vt:variant>
        <vt:lpwstr/>
      </vt:variant>
      <vt:variant>
        <vt:lpwstr>_Toc358726142</vt:lpwstr>
      </vt:variant>
      <vt:variant>
        <vt:i4>1507384</vt:i4>
      </vt:variant>
      <vt:variant>
        <vt:i4>140</vt:i4>
      </vt:variant>
      <vt:variant>
        <vt:i4>0</vt:i4>
      </vt:variant>
      <vt:variant>
        <vt:i4>5</vt:i4>
      </vt:variant>
      <vt:variant>
        <vt:lpwstr/>
      </vt:variant>
      <vt:variant>
        <vt:lpwstr>_Toc358726141</vt:lpwstr>
      </vt:variant>
      <vt:variant>
        <vt:i4>1507384</vt:i4>
      </vt:variant>
      <vt:variant>
        <vt:i4>134</vt:i4>
      </vt:variant>
      <vt:variant>
        <vt:i4>0</vt:i4>
      </vt:variant>
      <vt:variant>
        <vt:i4>5</vt:i4>
      </vt:variant>
      <vt:variant>
        <vt:lpwstr/>
      </vt:variant>
      <vt:variant>
        <vt:lpwstr>_Toc358726140</vt:lpwstr>
      </vt:variant>
      <vt:variant>
        <vt:i4>1048632</vt:i4>
      </vt:variant>
      <vt:variant>
        <vt:i4>128</vt:i4>
      </vt:variant>
      <vt:variant>
        <vt:i4>0</vt:i4>
      </vt:variant>
      <vt:variant>
        <vt:i4>5</vt:i4>
      </vt:variant>
      <vt:variant>
        <vt:lpwstr/>
      </vt:variant>
      <vt:variant>
        <vt:lpwstr>_Toc358726139</vt:lpwstr>
      </vt:variant>
      <vt:variant>
        <vt:i4>1048632</vt:i4>
      </vt:variant>
      <vt:variant>
        <vt:i4>122</vt:i4>
      </vt:variant>
      <vt:variant>
        <vt:i4>0</vt:i4>
      </vt:variant>
      <vt:variant>
        <vt:i4>5</vt:i4>
      </vt:variant>
      <vt:variant>
        <vt:lpwstr/>
      </vt:variant>
      <vt:variant>
        <vt:lpwstr>_Toc358726138</vt:lpwstr>
      </vt:variant>
      <vt:variant>
        <vt:i4>1048632</vt:i4>
      </vt:variant>
      <vt:variant>
        <vt:i4>116</vt:i4>
      </vt:variant>
      <vt:variant>
        <vt:i4>0</vt:i4>
      </vt:variant>
      <vt:variant>
        <vt:i4>5</vt:i4>
      </vt:variant>
      <vt:variant>
        <vt:lpwstr/>
      </vt:variant>
      <vt:variant>
        <vt:lpwstr>_Toc358726137</vt:lpwstr>
      </vt:variant>
      <vt:variant>
        <vt:i4>1048632</vt:i4>
      </vt:variant>
      <vt:variant>
        <vt:i4>110</vt:i4>
      </vt:variant>
      <vt:variant>
        <vt:i4>0</vt:i4>
      </vt:variant>
      <vt:variant>
        <vt:i4>5</vt:i4>
      </vt:variant>
      <vt:variant>
        <vt:lpwstr/>
      </vt:variant>
      <vt:variant>
        <vt:lpwstr>_Toc358726136</vt:lpwstr>
      </vt:variant>
      <vt:variant>
        <vt:i4>1048632</vt:i4>
      </vt:variant>
      <vt:variant>
        <vt:i4>104</vt:i4>
      </vt:variant>
      <vt:variant>
        <vt:i4>0</vt:i4>
      </vt:variant>
      <vt:variant>
        <vt:i4>5</vt:i4>
      </vt:variant>
      <vt:variant>
        <vt:lpwstr/>
      </vt:variant>
      <vt:variant>
        <vt:lpwstr>_Toc358726135</vt:lpwstr>
      </vt:variant>
      <vt:variant>
        <vt:i4>1048632</vt:i4>
      </vt:variant>
      <vt:variant>
        <vt:i4>98</vt:i4>
      </vt:variant>
      <vt:variant>
        <vt:i4>0</vt:i4>
      </vt:variant>
      <vt:variant>
        <vt:i4>5</vt:i4>
      </vt:variant>
      <vt:variant>
        <vt:lpwstr/>
      </vt:variant>
      <vt:variant>
        <vt:lpwstr>_Toc358726134</vt:lpwstr>
      </vt:variant>
      <vt:variant>
        <vt:i4>1048632</vt:i4>
      </vt:variant>
      <vt:variant>
        <vt:i4>92</vt:i4>
      </vt:variant>
      <vt:variant>
        <vt:i4>0</vt:i4>
      </vt:variant>
      <vt:variant>
        <vt:i4>5</vt:i4>
      </vt:variant>
      <vt:variant>
        <vt:lpwstr/>
      </vt:variant>
      <vt:variant>
        <vt:lpwstr>_Toc358726133</vt:lpwstr>
      </vt:variant>
      <vt:variant>
        <vt:i4>1048632</vt:i4>
      </vt:variant>
      <vt:variant>
        <vt:i4>86</vt:i4>
      </vt:variant>
      <vt:variant>
        <vt:i4>0</vt:i4>
      </vt:variant>
      <vt:variant>
        <vt:i4>5</vt:i4>
      </vt:variant>
      <vt:variant>
        <vt:lpwstr/>
      </vt:variant>
      <vt:variant>
        <vt:lpwstr>_Toc358726132</vt:lpwstr>
      </vt:variant>
      <vt:variant>
        <vt:i4>1048632</vt:i4>
      </vt:variant>
      <vt:variant>
        <vt:i4>80</vt:i4>
      </vt:variant>
      <vt:variant>
        <vt:i4>0</vt:i4>
      </vt:variant>
      <vt:variant>
        <vt:i4>5</vt:i4>
      </vt:variant>
      <vt:variant>
        <vt:lpwstr/>
      </vt:variant>
      <vt:variant>
        <vt:lpwstr>_Toc358726131</vt:lpwstr>
      </vt:variant>
      <vt:variant>
        <vt:i4>1048632</vt:i4>
      </vt:variant>
      <vt:variant>
        <vt:i4>74</vt:i4>
      </vt:variant>
      <vt:variant>
        <vt:i4>0</vt:i4>
      </vt:variant>
      <vt:variant>
        <vt:i4>5</vt:i4>
      </vt:variant>
      <vt:variant>
        <vt:lpwstr/>
      </vt:variant>
      <vt:variant>
        <vt:lpwstr>_Toc358726130</vt:lpwstr>
      </vt:variant>
      <vt:variant>
        <vt:i4>1114168</vt:i4>
      </vt:variant>
      <vt:variant>
        <vt:i4>68</vt:i4>
      </vt:variant>
      <vt:variant>
        <vt:i4>0</vt:i4>
      </vt:variant>
      <vt:variant>
        <vt:i4>5</vt:i4>
      </vt:variant>
      <vt:variant>
        <vt:lpwstr/>
      </vt:variant>
      <vt:variant>
        <vt:lpwstr>_Toc358726129</vt:lpwstr>
      </vt:variant>
      <vt:variant>
        <vt:i4>1114168</vt:i4>
      </vt:variant>
      <vt:variant>
        <vt:i4>62</vt:i4>
      </vt:variant>
      <vt:variant>
        <vt:i4>0</vt:i4>
      </vt:variant>
      <vt:variant>
        <vt:i4>5</vt:i4>
      </vt:variant>
      <vt:variant>
        <vt:lpwstr/>
      </vt:variant>
      <vt:variant>
        <vt:lpwstr>_Toc358726128</vt:lpwstr>
      </vt:variant>
      <vt:variant>
        <vt:i4>1114168</vt:i4>
      </vt:variant>
      <vt:variant>
        <vt:i4>56</vt:i4>
      </vt:variant>
      <vt:variant>
        <vt:i4>0</vt:i4>
      </vt:variant>
      <vt:variant>
        <vt:i4>5</vt:i4>
      </vt:variant>
      <vt:variant>
        <vt:lpwstr/>
      </vt:variant>
      <vt:variant>
        <vt:lpwstr>_Toc358726127</vt:lpwstr>
      </vt:variant>
      <vt:variant>
        <vt:i4>1114168</vt:i4>
      </vt:variant>
      <vt:variant>
        <vt:i4>50</vt:i4>
      </vt:variant>
      <vt:variant>
        <vt:i4>0</vt:i4>
      </vt:variant>
      <vt:variant>
        <vt:i4>5</vt:i4>
      </vt:variant>
      <vt:variant>
        <vt:lpwstr/>
      </vt:variant>
      <vt:variant>
        <vt:lpwstr>_Toc358726126</vt:lpwstr>
      </vt:variant>
      <vt:variant>
        <vt:i4>1114168</vt:i4>
      </vt:variant>
      <vt:variant>
        <vt:i4>44</vt:i4>
      </vt:variant>
      <vt:variant>
        <vt:i4>0</vt:i4>
      </vt:variant>
      <vt:variant>
        <vt:i4>5</vt:i4>
      </vt:variant>
      <vt:variant>
        <vt:lpwstr/>
      </vt:variant>
      <vt:variant>
        <vt:lpwstr>_Toc358726125</vt:lpwstr>
      </vt:variant>
      <vt:variant>
        <vt:i4>1114168</vt:i4>
      </vt:variant>
      <vt:variant>
        <vt:i4>38</vt:i4>
      </vt:variant>
      <vt:variant>
        <vt:i4>0</vt:i4>
      </vt:variant>
      <vt:variant>
        <vt:i4>5</vt:i4>
      </vt:variant>
      <vt:variant>
        <vt:lpwstr/>
      </vt:variant>
      <vt:variant>
        <vt:lpwstr>_Toc358726124</vt:lpwstr>
      </vt:variant>
      <vt:variant>
        <vt:i4>1114168</vt:i4>
      </vt:variant>
      <vt:variant>
        <vt:i4>32</vt:i4>
      </vt:variant>
      <vt:variant>
        <vt:i4>0</vt:i4>
      </vt:variant>
      <vt:variant>
        <vt:i4>5</vt:i4>
      </vt:variant>
      <vt:variant>
        <vt:lpwstr/>
      </vt:variant>
      <vt:variant>
        <vt:lpwstr>_Toc358726123</vt:lpwstr>
      </vt:variant>
      <vt:variant>
        <vt:i4>1114168</vt:i4>
      </vt:variant>
      <vt:variant>
        <vt:i4>26</vt:i4>
      </vt:variant>
      <vt:variant>
        <vt:i4>0</vt:i4>
      </vt:variant>
      <vt:variant>
        <vt:i4>5</vt:i4>
      </vt:variant>
      <vt:variant>
        <vt:lpwstr/>
      </vt:variant>
      <vt:variant>
        <vt:lpwstr>_Toc358726122</vt:lpwstr>
      </vt:variant>
      <vt:variant>
        <vt:i4>1114168</vt:i4>
      </vt:variant>
      <vt:variant>
        <vt:i4>20</vt:i4>
      </vt:variant>
      <vt:variant>
        <vt:i4>0</vt:i4>
      </vt:variant>
      <vt:variant>
        <vt:i4>5</vt:i4>
      </vt:variant>
      <vt:variant>
        <vt:lpwstr/>
      </vt:variant>
      <vt:variant>
        <vt:lpwstr>_Toc358726121</vt:lpwstr>
      </vt:variant>
      <vt:variant>
        <vt:i4>1114168</vt:i4>
      </vt:variant>
      <vt:variant>
        <vt:i4>14</vt:i4>
      </vt:variant>
      <vt:variant>
        <vt:i4>0</vt:i4>
      </vt:variant>
      <vt:variant>
        <vt:i4>5</vt:i4>
      </vt:variant>
      <vt:variant>
        <vt:lpwstr/>
      </vt:variant>
      <vt:variant>
        <vt:lpwstr>_Toc358726120</vt:lpwstr>
      </vt:variant>
      <vt:variant>
        <vt:i4>1179704</vt:i4>
      </vt:variant>
      <vt:variant>
        <vt:i4>8</vt:i4>
      </vt:variant>
      <vt:variant>
        <vt:i4>0</vt:i4>
      </vt:variant>
      <vt:variant>
        <vt:i4>5</vt:i4>
      </vt:variant>
      <vt:variant>
        <vt:lpwstr/>
      </vt:variant>
      <vt:variant>
        <vt:lpwstr>_Toc358726119</vt:lpwstr>
      </vt:variant>
      <vt:variant>
        <vt:i4>3670022</vt:i4>
      </vt:variant>
      <vt:variant>
        <vt:i4>3</vt:i4>
      </vt:variant>
      <vt:variant>
        <vt:i4>0</vt:i4>
      </vt:variant>
      <vt:variant>
        <vt:i4>5</vt:i4>
      </vt:variant>
      <vt:variant>
        <vt:lpwstr>mailto:psi@nationalarchives.gsi.gov.uk</vt:lpwstr>
      </vt:variant>
      <vt:variant>
        <vt:lpwstr/>
      </vt:variant>
      <vt:variant>
        <vt:i4>6553714</vt:i4>
      </vt:variant>
      <vt:variant>
        <vt:i4>0</vt:i4>
      </vt:variant>
      <vt:variant>
        <vt:i4>0</vt:i4>
      </vt:variant>
      <vt:variant>
        <vt:i4>5</vt:i4>
      </vt:variant>
      <vt:variant>
        <vt:lpwstr>http://www.nationalarchives.gov.uk/doc/open-government-licence/</vt:lpwstr>
      </vt:variant>
      <vt:variant>
        <vt:lpwstr/>
      </vt:variant>
      <vt:variant>
        <vt:i4>1507342</vt:i4>
      </vt:variant>
      <vt:variant>
        <vt:i4>162</vt:i4>
      </vt:variant>
      <vt:variant>
        <vt:i4>0</vt:i4>
      </vt:variant>
      <vt:variant>
        <vt:i4>5</vt:i4>
      </vt:variant>
      <vt:variant>
        <vt:lpwstr>http://www.cefas.defra.gov.uk/industry-information/offshore-chemical-notification-scheme.aspx</vt:lpwstr>
      </vt:variant>
      <vt:variant>
        <vt:lpwstr/>
      </vt:variant>
      <vt:variant>
        <vt:i4>5832745</vt:i4>
      </vt:variant>
      <vt:variant>
        <vt:i4>159</vt:i4>
      </vt:variant>
      <vt:variant>
        <vt:i4>0</vt:i4>
      </vt:variant>
      <vt:variant>
        <vt:i4>5</vt:i4>
      </vt:variant>
      <vt:variant>
        <vt:lpwstr>http://www.ospar.org/documents/DBASE/DECRECS/Agreements/02-06e_Common interpretation.doc</vt:lpwstr>
      </vt:variant>
      <vt:variant>
        <vt:lpwstr/>
      </vt:variant>
      <vt:variant>
        <vt:i4>2162737</vt:i4>
      </vt:variant>
      <vt:variant>
        <vt:i4>156</vt:i4>
      </vt:variant>
      <vt:variant>
        <vt:i4>0</vt:i4>
      </vt:variant>
      <vt:variant>
        <vt:i4>5</vt:i4>
      </vt:variant>
      <vt:variant>
        <vt:lpwstr>http://www.ospar.org/documents/DBASE/DECRECS/Decisions/od00-02e.doc</vt:lpwstr>
      </vt:variant>
      <vt:variant>
        <vt:lpwstr/>
      </vt:variant>
      <vt:variant>
        <vt:i4>2687008</vt:i4>
      </vt:variant>
      <vt:variant>
        <vt:i4>153</vt:i4>
      </vt:variant>
      <vt:variant>
        <vt:i4>0</vt:i4>
      </vt:variant>
      <vt:variant>
        <vt:i4>5</vt:i4>
      </vt:variant>
      <vt:variant>
        <vt:lpwstr>http://www.bgs.ac.uk/mineralsuk/sustainability</vt:lpwstr>
      </vt:variant>
      <vt:variant>
        <vt:lpwstr/>
      </vt:variant>
      <vt:variant>
        <vt:i4>7012401</vt:i4>
      </vt:variant>
      <vt:variant>
        <vt:i4>150</vt:i4>
      </vt:variant>
      <vt:variant>
        <vt:i4>0</vt:i4>
      </vt:variant>
      <vt:variant>
        <vt:i4>5</vt:i4>
      </vt:variant>
      <vt:variant>
        <vt:lpwstr>https://www.globalreporting.org/resourcelibrary/OGSS-G3.1-Complete.pdf</vt:lpwstr>
      </vt:variant>
      <vt:variant>
        <vt:lpwstr/>
      </vt:variant>
      <vt:variant>
        <vt:i4>5242882</vt:i4>
      </vt:variant>
      <vt:variant>
        <vt:i4>147</vt:i4>
      </vt:variant>
      <vt:variant>
        <vt:i4>0</vt:i4>
      </vt:variant>
      <vt:variant>
        <vt:i4>5</vt:i4>
      </vt:variant>
      <vt:variant>
        <vt:lpwstr>https://www.globalreporting.org/resourcelibrary/MMSS-Complete.pdf</vt:lpwstr>
      </vt:variant>
      <vt:variant>
        <vt:lpwstr/>
      </vt:variant>
      <vt:variant>
        <vt:i4>1703940</vt:i4>
      </vt:variant>
      <vt:variant>
        <vt:i4>144</vt:i4>
      </vt:variant>
      <vt:variant>
        <vt:i4>0</vt:i4>
      </vt:variant>
      <vt:variant>
        <vt:i4>5</vt:i4>
      </vt:variant>
      <vt:variant>
        <vt:lpwstr>http://www.icmm.com/our-work/sustainable-development-framework/10-principles</vt:lpwstr>
      </vt:variant>
      <vt:variant>
        <vt:lpwstr/>
      </vt:variant>
      <vt:variant>
        <vt:i4>3211320</vt:i4>
      </vt:variant>
      <vt:variant>
        <vt:i4>141</vt:i4>
      </vt:variant>
      <vt:variant>
        <vt:i4>0</vt:i4>
      </vt:variant>
      <vt:variant>
        <vt:i4>5</vt:i4>
      </vt:variant>
      <vt:variant>
        <vt:lpwstr>http://marinemanagement.org.uk/licensing/documents/guidance/08.pdf</vt:lpwstr>
      </vt:variant>
      <vt:variant>
        <vt:lpwstr/>
      </vt:variant>
      <vt:variant>
        <vt:i4>2949247</vt:i4>
      </vt:variant>
      <vt:variant>
        <vt:i4>138</vt:i4>
      </vt:variant>
      <vt:variant>
        <vt:i4>0</vt:i4>
      </vt:variant>
      <vt:variant>
        <vt:i4>5</vt:i4>
      </vt:variant>
      <vt:variant>
        <vt:lpwstr>http://www.waterfootprint.org/?page=files/home</vt:lpwstr>
      </vt:variant>
      <vt:variant>
        <vt:lpwstr/>
      </vt:variant>
      <vt:variant>
        <vt:i4>5636104</vt:i4>
      </vt:variant>
      <vt:variant>
        <vt:i4>135</vt:i4>
      </vt:variant>
      <vt:variant>
        <vt:i4>0</vt:i4>
      </vt:variant>
      <vt:variant>
        <vt:i4>5</vt:i4>
      </vt:variant>
      <vt:variant>
        <vt:lpwstr>http://ceowatermandate.org/about/</vt:lpwstr>
      </vt:variant>
      <vt:variant>
        <vt:lpwstr/>
      </vt:variant>
      <vt:variant>
        <vt:i4>4653065</vt:i4>
      </vt:variant>
      <vt:variant>
        <vt:i4>132</vt:i4>
      </vt:variant>
      <vt:variant>
        <vt:i4>0</vt:i4>
      </vt:variant>
      <vt:variant>
        <vt:i4>5</vt:i4>
      </vt:variant>
      <vt:variant>
        <vt:lpwstr>http://www.allianceforwaterstewardship.org/index.html</vt:lpwstr>
      </vt:variant>
      <vt:variant>
        <vt:lpwstr/>
      </vt:variant>
      <vt:variant>
        <vt:i4>7602300</vt:i4>
      </vt:variant>
      <vt:variant>
        <vt:i4>129</vt:i4>
      </vt:variant>
      <vt:variant>
        <vt:i4>0</vt:i4>
      </vt:variant>
      <vt:variant>
        <vt:i4>5</vt:i4>
      </vt:variant>
      <vt:variant>
        <vt:lpwstr>http://www.ewp.eu/</vt:lpwstr>
      </vt:variant>
      <vt:variant>
        <vt:lpwstr/>
      </vt:variant>
      <vt:variant>
        <vt:i4>8126579</vt:i4>
      </vt:variant>
      <vt:variant>
        <vt:i4>126</vt:i4>
      </vt:variant>
      <vt:variant>
        <vt:i4>0</vt:i4>
      </vt:variant>
      <vt:variant>
        <vt:i4>5</vt:i4>
      </vt:variant>
      <vt:variant>
        <vt:lpwstr>http://www.ceres.org/issues/water/aqua-gauge/downloads/aqua-gauge-executive-summary</vt:lpwstr>
      </vt:variant>
      <vt:variant>
        <vt:lpwstr/>
      </vt:variant>
      <vt:variant>
        <vt:i4>6684774</vt:i4>
      </vt:variant>
      <vt:variant>
        <vt:i4>123</vt:i4>
      </vt:variant>
      <vt:variant>
        <vt:i4>0</vt:i4>
      </vt:variant>
      <vt:variant>
        <vt:i4>5</vt:i4>
      </vt:variant>
      <vt:variant>
        <vt:lpwstr>http://www.gemi.org/water/overview.htm</vt:lpwstr>
      </vt:variant>
      <vt:variant>
        <vt:lpwstr/>
      </vt:variant>
      <vt:variant>
        <vt:i4>6553698</vt:i4>
      </vt:variant>
      <vt:variant>
        <vt:i4>120</vt:i4>
      </vt:variant>
      <vt:variant>
        <vt:i4>0</vt:i4>
      </vt:variant>
      <vt:variant>
        <vt:i4>5</vt:i4>
      </vt:variant>
      <vt:variant>
        <vt:lpwstr>http://www.wbcsd.org/work-program/sector-projects/water/global-water-tool.aspx</vt:lpwstr>
      </vt:variant>
      <vt:variant>
        <vt:lpwstr/>
      </vt:variant>
      <vt:variant>
        <vt:i4>1835035</vt:i4>
      </vt:variant>
      <vt:variant>
        <vt:i4>117</vt:i4>
      </vt:variant>
      <vt:variant>
        <vt:i4>0</vt:i4>
      </vt:variant>
      <vt:variant>
        <vt:i4>5</vt:i4>
      </vt:variant>
      <vt:variant>
        <vt:lpwstr>https://www.globalreporting.org/resourcelibrary/G3.1-Environment-Indicator-Protocols.pdf</vt:lpwstr>
      </vt:variant>
      <vt:variant>
        <vt:lpwstr/>
      </vt:variant>
      <vt:variant>
        <vt:i4>3604532</vt:i4>
      </vt:variant>
      <vt:variant>
        <vt:i4>114</vt:i4>
      </vt:variant>
      <vt:variant>
        <vt:i4>0</vt:i4>
      </vt:variant>
      <vt:variant>
        <vt:i4>5</vt:i4>
      </vt:variant>
      <vt:variant>
        <vt:lpwstr>https://www.cdproject.net/water</vt:lpwstr>
      </vt:variant>
      <vt:variant>
        <vt:lpwstr/>
      </vt:variant>
      <vt:variant>
        <vt:i4>5505033</vt:i4>
      </vt:variant>
      <vt:variant>
        <vt:i4>111</vt:i4>
      </vt:variant>
      <vt:variant>
        <vt:i4>0</vt:i4>
      </vt:variant>
      <vt:variant>
        <vt:i4>5</vt:i4>
      </vt:variant>
      <vt:variant>
        <vt:lpwstr>https://www.cdproject.net/CDPResults/CDP-Water-Disclosure-Global-Report-2011.pdf</vt:lpwstr>
      </vt:variant>
      <vt:variant>
        <vt:lpwstr/>
      </vt:variant>
      <vt:variant>
        <vt:i4>4849682</vt:i4>
      </vt:variant>
      <vt:variant>
        <vt:i4>108</vt:i4>
      </vt:variant>
      <vt:variant>
        <vt:i4>0</vt:i4>
      </vt:variant>
      <vt:variant>
        <vt:i4>5</vt:i4>
      </vt:variant>
      <vt:variant>
        <vt:lpwstr>http://assets.wwf.org.uk/downloads/water_footprint_uk.pdf</vt:lpwstr>
      </vt:variant>
      <vt:variant>
        <vt:lpwstr/>
      </vt:variant>
      <vt:variant>
        <vt:i4>5570641</vt:i4>
      </vt:variant>
      <vt:variant>
        <vt:i4>105</vt:i4>
      </vt:variant>
      <vt:variant>
        <vt:i4>0</vt:i4>
      </vt:variant>
      <vt:variant>
        <vt:i4>5</vt:i4>
      </vt:variant>
      <vt:variant>
        <vt:lpwstr>http://www.environment-agency.gov.uk/research/planning/33362.aspx</vt:lpwstr>
      </vt:variant>
      <vt:variant>
        <vt:lpwstr/>
      </vt:variant>
      <vt:variant>
        <vt:i4>4390942</vt:i4>
      </vt:variant>
      <vt:variant>
        <vt:i4>102</vt:i4>
      </vt:variant>
      <vt:variant>
        <vt:i4>0</vt:i4>
      </vt:variant>
      <vt:variant>
        <vt:i4>5</vt:i4>
      </vt:variant>
      <vt:variant>
        <vt:lpwstr>http://www.forestry.gov.uk/carboncode</vt:lpwstr>
      </vt:variant>
      <vt:variant>
        <vt:lpwstr/>
      </vt:variant>
      <vt:variant>
        <vt:i4>983111</vt:i4>
      </vt:variant>
      <vt:variant>
        <vt:i4>99</vt:i4>
      </vt:variant>
      <vt:variant>
        <vt:i4>0</vt:i4>
      </vt:variant>
      <vt:variant>
        <vt:i4>5</vt:i4>
      </vt:variant>
      <vt:variant>
        <vt:lpwstr>https://www.gov.uk/measuring-and-reporting-environmental-impacts-guidance-for-businesses</vt:lpwstr>
      </vt:variant>
      <vt:variant>
        <vt:lpwstr/>
      </vt:variant>
      <vt:variant>
        <vt:i4>7733362</vt:i4>
      </vt:variant>
      <vt:variant>
        <vt:i4>96</vt:i4>
      </vt:variant>
      <vt:variant>
        <vt:i4>0</vt:i4>
      </vt:variant>
      <vt:variant>
        <vt:i4>5</vt:i4>
      </vt:variant>
      <vt:variant>
        <vt:lpwstr>http://publications.naturalengland.org.uk/publication/50008</vt:lpwstr>
      </vt:variant>
      <vt:variant>
        <vt:lpwstr/>
      </vt:variant>
      <vt:variant>
        <vt:i4>6881403</vt:i4>
      </vt:variant>
      <vt:variant>
        <vt:i4>93</vt:i4>
      </vt:variant>
      <vt:variant>
        <vt:i4>0</vt:i4>
      </vt:variant>
      <vt:variant>
        <vt:i4>5</vt:i4>
      </vt:variant>
      <vt:variant>
        <vt:lpwstr>http://www.business-biodiversity.eu/global/download/%7BEWONBFPFXE-10312011145629-QVBVDVTBVX%7D.pdf</vt:lpwstr>
      </vt:variant>
      <vt:variant>
        <vt:lpwstr/>
      </vt:variant>
      <vt:variant>
        <vt:i4>6422561</vt:i4>
      </vt:variant>
      <vt:variant>
        <vt:i4>90</vt:i4>
      </vt:variant>
      <vt:variant>
        <vt:i4>0</vt:i4>
      </vt:variant>
      <vt:variant>
        <vt:i4>5</vt:i4>
      </vt:variant>
      <vt:variant>
        <vt:lpwstr>http://www.iso.org/iso/home/standards/management-standards/iso14000.htm</vt:lpwstr>
      </vt:variant>
      <vt:variant>
        <vt:lpwstr/>
      </vt:variant>
      <vt:variant>
        <vt:i4>2293797</vt:i4>
      </vt:variant>
      <vt:variant>
        <vt:i4>87</vt:i4>
      </vt:variant>
      <vt:variant>
        <vt:i4>0</vt:i4>
      </vt:variant>
      <vt:variant>
        <vt:i4>5</vt:i4>
      </vt:variant>
      <vt:variant>
        <vt:lpwstr>http://www.naturalvalueinitiative.org/</vt:lpwstr>
      </vt:variant>
      <vt:variant>
        <vt:lpwstr/>
      </vt:variant>
      <vt:variant>
        <vt:i4>5832787</vt:i4>
      </vt:variant>
      <vt:variant>
        <vt:i4>84</vt:i4>
      </vt:variant>
      <vt:variant>
        <vt:i4>0</vt:i4>
      </vt:variant>
      <vt:variant>
        <vt:i4>5</vt:i4>
      </vt:variant>
      <vt:variant>
        <vt:lpwstr>https://www.ibatforbusiness.org/loginThe</vt:lpwstr>
      </vt:variant>
      <vt:variant>
        <vt:lpwstr/>
      </vt:variant>
      <vt:variant>
        <vt:i4>3801135</vt:i4>
      </vt:variant>
      <vt:variant>
        <vt:i4>81</vt:i4>
      </vt:variant>
      <vt:variant>
        <vt:i4>0</vt:i4>
      </vt:variant>
      <vt:variant>
        <vt:i4>5</vt:i4>
      </vt:variant>
      <vt:variant>
        <vt:lpwstr>http://ariesonline.org/</vt:lpwstr>
      </vt:variant>
      <vt:variant>
        <vt:lpwstr/>
      </vt:variant>
      <vt:variant>
        <vt:i4>1704028</vt:i4>
      </vt:variant>
      <vt:variant>
        <vt:i4>78</vt:i4>
      </vt:variant>
      <vt:variant>
        <vt:i4>0</vt:i4>
      </vt:variant>
      <vt:variant>
        <vt:i4>5</vt:i4>
      </vt:variant>
      <vt:variant>
        <vt:lpwstr>http://www.naturalcapitalproject.org/InVEST.html</vt:lpwstr>
      </vt:variant>
      <vt:variant>
        <vt:lpwstr/>
      </vt:variant>
      <vt:variant>
        <vt:i4>3997818</vt:i4>
      </vt:variant>
      <vt:variant>
        <vt:i4>75</vt:i4>
      </vt:variant>
      <vt:variant>
        <vt:i4>0</vt:i4>
      </vt:variant>
      <vt:variant>
        <vt:i4>5</vt:i4>
      </vt:variant>
      <vt:variant>
        <vt:lpwstr>http://www.afordablefutures.com/services/mimes</vt:lpwstr>
      </vt:variant>
      <vt:variant>
        <vt:lpwstr/>
      </vt:variant>
      <vt:variant>
        <vt:i4>5308491</vt:i4>
      </vt:variant>
      <vt:variant>
        <vt:i4>72</vt:i4>
      </vt:variant>
      <vt:variant>
        <vt:i4>0</vt:i4>
      </vt:variant>
      <vt:variant>
        <vt:i4>5</vt:i4>
      </vt:variant>
      <vt:variant>
        <vt:lpwstr>http://www.wbcsd.org/work-program/ecosystems/cev.aspx</vt:lpwstr>
      </vt:variant>
      <vt:variant>
        <vt:lpwstr/>
      </vt:variant>
      <vt:variant>
        <vt:i4>4522037</vt:i4>
      </vt:variant>
      <vt:variant>
        <vt:i4>69</vt:i4>
      </vt:variant>
      <vt:variant>
        <vt:i4>0</vt:i4>
      </vt:variant>
      <vt:variant>
        <vt:i4>5</vt:i4>
      </vt:variant>
      <vt:variant>
        <vt:lpwstr>http://www.esindicators.org/indicator_details/1776</vt:lpwstr>
      </vt:variant>
      <vt:variant>
        <vt:lpwstr/>
      </vt:variant>
      <vt:variant>
        <vt:i4>2556014</vt:i4>
      </vt:variant>
      <vt:variant>
        <vt:i4>66</vt:i4>
      </vt:variant>
      <vt:variant>
        <vt:i4>0</vt:i4>
      </vt:variant>
      <vt:variant>
        <vt:i4>5</vt:i4>
      </vt:variant>
      <vt:variant>
        <vt:lpwstr>http://www.teebweb.org/</vt:lpwstr>
      </vt:variant>
      <vt:variant>
        <vt:lpwstr/>
      </vt:variant>
      <vt:variant>
        <vt:i4>6094900</vt:i4>
      </vt:variant>
      <vt:variant>
        <vt:i4>63</vt:i4>
      </vt:variant>
      <vt:variant>
        <vt:i4>0</vt:i4>
      </vt:variant>
      <vt:variant>
        <vt:i4>5</vt:i4>
      </vt:variant>
      <vt:variant>
        <vt:lpwstr>http://archive.defra.gov.uk/environment/natural/documents/UKNEA_SynthesisReport.pdf</vt:lpwstr>
      </vt:variant>
      <vt:variant>
        <vt:lpwstr/>
      </vt:variant>
      <vt:variant>
        <vt:i4>393266</vt:i4>
      </vt:variant>
      <vt:variant>
        <vt:i4>60</vt:i4>
      </vt:variant>
      <vt:variant>
        <vt:i4>0</vt:i4>
      </vt:variant>
      <vt:variant>
        <vt:i4>5</vt:i4>
      </vt:variant>
      <vt:variant>
        <vt:lpwstr>http://www.fta.co.uk/policy_and_compliance/environment/vehicle_emissions.html</vt:lpwstr>
      </vt:variant>
      <vt:variant>
        <vt:lpwstr/>
      </vt:variant>
      <vt:variant>
        <vt:i4>1507342</vt:i4>
      </vt:variant>
      <vt:variant>
        <vt:i4>57</vt:i4>
      </vt:variant>
      <vt:variant>
        <vt:i4>0</vt:i4>
      </vt:variant>
      <vt:variant>
        <vt:i4>5</vt:i4>
      </vt:variant>
      <vt:variant>
        <vt:lpwstr>http://www.cefas.defra.gov.uk/industry-information/offshore-chemical-notification-scheme.aspx</vt:lpwstr>
      </vt:variant>
      <vt:variant>
        <vt:lpwstr/>
      </vt:variant>
      <vt:variant>
        <vt:i4>7733345</vt:i4>
      </vt:variant>
      <vt:variant>
        <vt:i4>54</vt:i4>
      </vt:variant>
      <vt:variant>
        <vt:i4>0</vt:i4>
      </vt:variant>
      <vt:variant>
        <vt:i4>5</vt:i4>
      </vt:variant>
      <vt:variant>
        <vt:lpwstr>http://www.environment-agency.gov.uk/static/documents/Business/The_REPI_Metrics_and_Guidance.pdf</vt:lpwstr>
      </vt:variant>
      <vt:variant>
        <vt:lpwstr/>
      </vt:variant>
      <vt:variant>
        <vt:i4>5439523</vt:i4>
      </vt:variant>
      <vt:variant>
        <vt:i4>51</vt:i4>
      </vt:variant>
      <vt:variant>
        <vt:i4>0</vt:i4>
      </vt:variant>
      <vt:variant>
        <vt:i4>5</vt:i4>
      </vt:variant>
      <vt:variant>
        <vt:lpwstr>http://www.environment-agency.gov.uk/static/documents/Business/eprtr_guidance_doc_1426519.pdf</vt:lpwstr>
      </vt:variant>
      <vt:variant>
        <vt:lpwstr/>
      </vt:variant>
      <vt:variant>
        <vt:i4>1179717</vt:i4>
      </vt:variant>
      <vt:variant>
        <vt:i4>48</vt:i4>
      </vt:variant>
      <vt:variant>
        <vt:i4>0</vt:i4>
      </vt:variant>
      <vt:variant>
        <vt:i4>5</vt:i4>
      </vt:variant>
      <vt:variant>
        <vt:lpwstr>https://www.gov.uk/government/policies/protecting-and-enhancing-our-urban-and-natural-environment-to-improve-public-health-and-wellbeing</vt:lpwstr>
      </vt:variant>
      <vt:variant>
        <vt:lpwstr/>
      </vt:variant>
      <vt:variant>
        <vt:i4>3407913</vt:i4>
      </vt:variant>
      <vt:variant>
        <vt:i4>45</vt:i4>
      </vt:variant>
      <vt:variant>
        <vt:i4>0</vt:i4>
      </vt:variant>
      <vt:variant>
        <vt:i4>5</vt:i4>
      </vt:variant>
      <vt:variant>
        <vt:lpwstr>http://www.cpet.org.uk/</vt:lpwstr>
      </vt:variant>
      <vt:variant>
        <vt:lpwstr/>
      </vt:variant>
      <vt:variant>
        <vt:i4>1114122</vt:i4>
      </vt:variant>
      <vt:variant>
        <vt:i4>42</vt:i4>
      </vt:variant>
      <vt:variant>
        <vt:i4>0</vt:i4>
      </vt:variant>
      <vt:variant>
        <vt:i4>5</vt:i4>
      </vt:variant>
      <vt:variant>
        <vt:lpwstr>http://www.bis.gov.uk/files/file46535.pdf</vt:lpwstr>
      </vt:variant>
      <vt:variant>
        <vt:lpwstr/>
      </vt:variant>
      <vt:variant>
        <vt:i4>2359343</vt:i4>
      </vt:variant>
      <vt:variant>
        <vt:i4>39</vt:i4>
      </vt:variant>
      <vt:variant>
        <vt:i4>0</vt:i4>
      </vt:variant>
      <vt:variant>
        <vt:i4>5</vt:i4>
      </vt:variant>
      <vt:variant>
        <vt:lpwstr>http://www.wrap.org.uk/</vt:lpwstr>
      </vt:variant>
      <vt:variant>
        <vt:lpwstr/>
      </vt:variant>
      <vt:variant>
        <vt:i4>7209046</vt:i4>
      </vt:variant>
      <vt:variant>
        <vt:i4>36</vt:i4>
      </vt:variant>
      <vt:variant>
        <vt:i4>0</vt:i4>
      </vt:variant>
      <vt:variant>
        <vt:i4>5</vt:i4>
      </vt:variant>
      <vt:variant>
        <vt:lpwstr>https://www.gov.uk/government/uploads/system/uploads/attachment_data/file/69511/pb13719-resource-security-action-plan.pdf</vt:lpwstr>
      </vt:variant>
      <vt:variant>
        <vt:lpwstr/>
      </vt:variant>
      <vt:variant>
        <vt:i4>1245196</vt:i4>
      </vt:variant>
      <vt:variant>
        <vt:i4>33</vt:i4>
      </vt:variant>
      <vt:variant>
        <vt:i4>0</vt:i4>
      </vt:variant>
      <vt:variant>
        <vt:i4>5</vt:i4>
      </vt:variant>
      <vt:variant>
        <vt:lpwstr>http://www.ghgprotocol.org/standards/scope-3-standard</vt:lpwstr>
      </vt:variant>
      <vt:variant>
        <vt:lpwstr/>
      </vt:variant>
      <vt:variant>
        <vt:i4>3145838</vt:i4>
      </vt:variant>
      <vt:variant>
        <vt:i4>30</vt:i4>
      </vt:variant>
      <vt:variant>
        <vt:i4>0</vt:i4>
      </vt:variant>
      <vt:variant>
        <vt:i4>5</vt:i4>
      </vt:variant>
      <vt:variant>
        <vt:lpwstr>https://www.cdp.net/Documents/Guidance/CDP2013ReportingGuidance.pdf</vt:lpwstr>
      </vt:variant>
      <vt:variant>
        <vt:lpwstr/>
      </vt:variant>
      <vt:variant>
        <vt:i4>2293803</vt:i4>
      </vt:variant>
      <vt:variant>
        <vt:i4>27</vt:i4>
      </vt:variant>
      <vt:variant>
        <vt:i4>0</vt:i4>
      </vt:variant>
      <vt:variant>
        <vt:i4>5</vt:i4>
      </vt:variant>
      <vt:variant>
        <vt:lpwstr>http://www.ghgprotocol.org/standards/corporate-standard</vt:lpwstr>
      </vt:variant>
      <vt:variant>
        <vt:lpwstr/>
      </vt:variant>
      <vt:variant>
        <vt:i4>2490411</vt:i4>
      </vt:variant>
      <vt:variant>
        <vt:i4>24</vt:i4>
      </vt:variant>
      <vt:variant>
        <vt:i4>0</vt:i4>
      </vt:variant>
      <vt:variant>
        <vt:i4>5</vt:i4>
      </vt:variant>
      <vt:variant>
        <vt:lpwstr>http://www.iema.net/ems</vt:lpwstr>
      </vt:variant>
      <vt:variant>
        <vt:lpwstr/>
      </vt:variant>
      <vt:variant>
        <vt:i4>8257603</vt:i4>
      </vt:variant>
      <vt:variant>
        <vt:i4>21</vt:i4>
      </vt:variant>
      <vt:variant>
        <vt:i4>0</vt:i4>
      </vt:variant>
      <vt:variant>
        <vt:i4>5</vt:i4>
      </vt:variant>
      <vt:variant>
        <vt:lpwstr>http://www.iema.net/shop/product_info.php?cPath=27_29&amp;products_id=7895</vt:lpwstr>
      </vt:variant>
      <vt:variant>
        <vt:lpwstr/>
      </vt:variant>
      <vt:variant>
        <vt:i4>2293803</vt:i4>
      </vt:variant>
      <vt:variant>
        <vt:i4>18</vt:i4>
      </vt:variant>
      <vt:variant>
        <vt:i4>0</vt:i4>
      </vt:variant>
      <vt:variant>
        <vt:i4>5</vt:i4>
      </vt:variant>
      <vt:variant>
        <vt:lpwstr>http://www.ghgprotocol.org/standards/corporate-standard</vt:lpwstr>
      </vt:variant>
      <vt:variant>
        <vt:lpwstr/>
      </vt:variant>
      <vt:variant>
        <vt:i4>6422642</vt:i4>
      </vt:variant>
      <vt:variant>
        <vt:i4>15</vt:i4>
      </vt:variant>
      <vt:variant>
        <vt:i4>0</vt:i4>
      </vt:variant>
      <vt:variant>
        <vt:i4>5</vt:i4>
      </vt:variant>
      <vt:variant>
        <vt:lpwstr>http://www.npl.co.uk/publications/good-practice-online-modules/measurement-uncertainty/basics-of-uncertainty-analysis/</vt:lpwstr>
      </vt:variant>
      <vt:variant>
        <vt:lpwstr/>
      </vt:variant>
      <vt:variant>
        <vt:i4>2293803</vt:i4>
      </vt:variant>
      <vt:variant>
        <vt:i4>12</vt:i4>
      </vt:variant>
      <vt:variant>
        <vt:i4>0</vt:i4>
      </vt:variant>
      <vt:variant>
        <vt:i4>5</vt:i4>
      </vt:variant>
      <vt:variant>
        <vt:lpwstr>http://www.ghgprotocol.org/standards/corporate-standard</vt:lpwstr>
      </vt:variant>
      <vt:variant>
        <vt:lpwstr/>
      </vt:variant>
      <vt:variant>
        <vt:i4>5177409</vt:i4>
      </vt:variant>
      <vt:variant>
        <vt:i4>9</vt:i4>
      </vt:variant>
      <vt:variant>
        <vt:i4>0</vt:i4>
      </vt:variant>
      <vt:variant>
        <vt:i4>5</vt:i4>
      </vt:variant>
      <vt:variant>
        <vt:lpwstr>http://www.environment-agency.gov.uk/environmentalfinance</vt:lpwstr>
      </vt:variant>
      <vt:variant>
        <vt:lpwstr/>
      </vt:variant>
      <vt:variant>
        <vt:i4>8192037</vt:i4>
      </vt:variant>
      <vt:variant>
        <vt:i4>6</vt:i4>
      </vt:variant>
      <vt:variant>
        <vt:i4>0</vt:i4>
      </vt:variant>
      <vt:variant>
        <vt:i4>5</vt:i4>
      </vt:variant>
      <vt:variant>
        <vt:lpwstr>https://www.gov.uk/sharing-information-on-greenhouse-gas-emissions-from-local-authority-own-estate-and-operations-previously-ni-185</vt:lpwstr>
      </vt:variant>
      <vt:variant>
        <vt:lpwstr/>
      </vt:variant>
      <vt:variant>
        <vt:i4>2097216</vt:i4>
      </vt:variant>
      <vt:variant>
        <vt:i4>3</vt:i4>
      </vt:variant>
      <vt:variant>
        <vt:i4>0</vt:i4>
      </vt:variant>
      <vt:variant>
        <vt:i4>5</vt:i4>
      </vt:variant>
      <vt:variant>
        <vt:lpwstr>http://www.hm-treasury.gov.uk/d/psar_sustainability_reporting_guidance20112.pdf</vt:lpwstr>
      </vt:variant>
      <vt:variant>
        <vt:lpwstr/>
      </vt:variant>
      <vt:variant>
        <vt:i4>6946938</vt:i4>
      </vt:variant>
      <vt:variant>
        <vt:i4>0</vt:i4>
      </vt:variant>
      <vt:variant>
        <vt:i4>0</vt:i4>
      </vt:variant>
      <vt:variant>
        <vt:i4>5</vt:i4>
      </vt:variant>
      <vt:variant>
        <vt:lpwstr>http://www.defra.gov.uk/news/2011/03/11/research-shows-companies-can-save-money-by-helping-the-environment/</vt:lpwstr>
      </vt:variant>
      <vt:variant>
        <vt:lpwstr/>
      </vt:variant>
      <vt:variant>
        <vt:i4>8060952</vt:i4>
      </vt:variant>
      <vt:variant>
        <vt:i4>3</vt:i4>
      </vt:variant>
      <vt:variant>
        <vt:i4>0</vt:i4>
      </vt:variant>
      <vt:variant>
        <vt:i4>5</vt:i4>
      </vt:variant>
      <vt:variant>
        <vt:lpwstr>https://www.gov.uk/government/uploads/system/uploads/attachment_data/file/82783/Fuelmixdisclosure2013.pdf</vt:lpwstr>
      </vt:variant>
      <vt:variant>
        <vt:lpwstr/>
      </vt:variant>
      <vt:variant>
        <vt:i4>1048577</vt:i4>
      </vt:variant>
      <vt:variant>
        <vt:i4>0</vt:i4>
      </vt:variant>
      <vt:variant>
        <vt:i4>0</vt:i4>
      </vt:variant>
      <vt:variant>
        <vt:i4>5</vt:i4>
      </vt:variant>
      <vt:variant>
        <vt:lpwstr>https://www.gov.uk/government/publications/fuel-mix-disclosure-data-table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Reporting Guidelines</dc:title>
  <dc:subject>Environmental Reporting</dc:subject>
  <dc:creator>Defra</dc:creator>
  <cp:keywords>Greenhouse gas emissions reporting, environmental reporting, guidance</cp:keywords>
  <cp:lastModifiedBy>Rosalind West</cp:lastModifiedBy>
  <cp:revision>4</cp:revision>
  <cp:lastPrinted>2014-02-17T16:46:00Z</cp:lastPrinted>
  <dcterms:created xsi:type="dcterms:W3CDTF">2014-02-23T20:46:00Z</dcterms:created>
  <dcterms:modified xsi:type="dcterms:W3CDTF">2014-02-23T20:52:00Z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0x010100C13D9FA44E79D3429FC7D3479220023800089D307C734A564BA0D2A223B6129B92</vt:lpwstr>
  </property>
  <property fmtid="{D5CDD505-2E9C-101B-9397-08002B2CF9AE}" pid="4" name="ContentType">
    <vt:lpwstr>External Document</vt:lpwstr>
  </property>
</Properties>
</file>